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F7A4" w14:textId="77777777" w:rsidR="00E10830" w:rsidRPr="00E10830" w:rsidRDefault="00E10830" w:rsidP="00E10830">
      <w:pPr>
        <w:widowControl w:val="0"/>
        <w:autoSpaceDE w:val="0"/>
        <w:autoSpaceDN w:val="0"/>
        <w:adjustRightInd w:val="0"/>
        <w:spacing w:after="200" w:line="276" w:lineRule="auto"/>
        <w:ind w:left="-1134"/>
        <w:textAlignment w:val="center"/>
        <w:rPr>
          <w:rFonts w:ascii="Calibri" w:eastAsia="Times New Roman" w:hAnsi="Calibri" w:cs="Tahoma"/>
          <w:color w:val="595959"/>
          <w:spacing w:val="4"/>
          <w:sz w:val="72"/>
          <w:szCs w:val="22"/>
          <w:lang w:val="en-GB"/>
        </w:rPr>
      </w:pPr>
    </w:p>
    <w:p w14:paraId="5AB755D3" w14:textId="0F4C58EF" w:rsidR="00F33C4D" w:rsidRPr="00E10830" w:rsidRDefault="00C85BFA" w:rsidP="00F33C4D">
      <w:pPr>
        <w:widowControl w:val="0"/>
        <w:autoSpaceDE w:val="0"/>
        <w:autoSpaceDN w:val="0"/>
        <w:adjustRightInd w:val="0"/>
        <w:spacing w:after="200" w:line="276" w:lineRule="auto"/>
        <w:ind w:left="-1134"/>
        <w:textAlignment w:val="center"/>
        <w:rPr>
          <w:rFonts w:ascii="Calibri" w:eastAsia="Times New Roman" w:hAnsi="Calibri" w:cs="Tahoma"/>
          <w:color w:val="595959"/>
          <w:spacing w:val="4"/>
          <w:sz w:val="72"/>
          <w:szCs w:val="22"/>
          <w:lang w:val="en-GB"/>
        </w:rPr>
      </w:pPr>
      <w:r w:rsidRPr="00C85BFA">
        <w:rPr>
          <w:rFonts w:ascii="Calibri" w:eastAsia="Times New Roman" w:hAnsi="Calibri" w:cs="Tahoma"/>
          <w:noProof/>
          <w:color w:val="595959"/>
          <w:spacing w:val="4"/>
          <w:sz w:val="56"/>
          <w:szCs w:val="22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3EA2F298" wp14:editId="53DFE06F">
            <wp:simplePos x="0" y="0"/>
            <wp:positionH relativeFrom="column">
              <wp:posOffset>419100</wp:posOffset>
            </wp:positionH>
            <wp:positionV relativeFrom="paragraph">
              <wp:posOffset>767715</wp:posOffset>
            </wp:positionV>
            <wp:extent cx="4165336" cy="1545898"/>
            <wp:effectExtent l="0" t="0" r="6985" b="0"/>
            <wp:wrapNone/>
            <wp:docPr id="2" name="Picture 2" descr="S:\2. Operations (BST)\8. Communications &amp; Branding\STL_HORI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2. Operations (BST)\8. Communications &amp; Branding\STL_HORIZ_RG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336" cy="154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4543F" w14:textId="6F078A2A" w:rsidR="00F33C4D" w:rsidRPr="009C7A56" w:rsidRDefault="00F33C4D" w:rsidP="00F33C4D">
      <w:pPr>
        <w:widowControl w:val="0"/>
        <w:autoSpaceDE w:val="0"/>
        <w:autoSpaceDN w:val="0"/>
        <w:adjustRightInd w:val="0"/>
        <w:spacing w:after="200" w:line="276" w:lineRule="auto"/>
        <w:ind w:left="-1134"/>
        <w:textAlignment w:val="center"/>
        <w:rPr>
          <w:rFonts w:ascii="Calibri" w:eastAsia="Times New Roman" w:hAnsi="Calibri" w:cs="Tahoma"/>
          <w:color w:val="595959"/>
          <w:spacing w:val="4"/>
          <w:sz w:val="56"/>
          <w:szCs w:val="22"/>
          <w:lang w:val="en-GB"/>
        </w:rPr>
      </w:pPr>
    </w:p>
    <w:p w14:paraId="1200D180" w14:textId="77777777" w:rsidR="00F33C4D" w:rsidRDefault="00F33C4D" w:rsidP="00F33C4D">
      <w:pPr>
        <w:widowControl w:val="0"/>
        <w:autoSpaceDE w:val="0"/>
        <w:autoSpaceDN w:val="0"/>
        <w:adjustRightInd w:val="0"/>
        <w:spacing w:after="200" w:line="276" w:lineRule="auto"/>
        <w:ind w:left="-567"/>
        <w:jc w:val="center"/>
        <w:textAlignment w:val="center"/>
        <w:rPr>
          <w:rFonts w:ascii="Calibri" w:eastAsia="Times New Roman" w:hAnsi="Calibri" w:cs="Tahoma"/>
          <w:color w:val="595959"/>
          <w:spacing w:val="4"/>
          <w:sz w:val="72"/>
          <w:szCs w:val="22"/>
          <w:lang w:val="en-GB"/>
        </w:rPr>
      </w:pPr>
    </w:p>
    <w:p w14:paraId="4471E275" w14:textId="77777777" w:rsidR="00F33C4D" w:rsidRDefault="00F33C4D" w:rsidP="00F33C4D">
      <w:pPr>
        <w:widowControl w:val="0"/>
        <w:autoSpaceDE w:val="0"/>
        <w:autoSpaceDN w:val="0"/>
        <w:adjustRightInd w:val="0"/>
        <w:spacing w:after="200" w:line="276" w:lineRule="auto"/>
        <w:ind w:left="-567"/>
        <w:jc w:val="center"/>
        <w:textAlignment w:val="center"/>
        <w:rPr>
          <w:rFonts w:ascii="Calibri" w:eastAsia="Times New Roman" w:hAnsi="Calibri" w:cs="Tahoma"/>
          <w:color w:val="595959"/>
          <w:spacing w:val="4"/>
          <w:sz w:val="72"/>
          <w:szCs w:val="22"/>
          <w:lang w:val="en-GB"/>
        </w:rPr>
      </w:pPr>
    </w:p>
    <w:p w14:paraId="60097CDE" w14:textId="77777777" w:rsidR="00F33C4D" w:rsidRPr="009C7A56" w:rsidRDefault="00F33C4D" w:rsidP="00F33C4D">
      <w:pPr>
        <w:widowControl w:val="0"/>
        <w:autoSpaceDE w:val="0"/>
        <w:autoSpaceDN w:val="0"/>
        <w:adjustRightInd w:val="0"/>
        <w:spacing w:after="200" w:line="276" w:lineRule="auto"/>
        <w:ind w:left="-567"/>
        <w:jc w:val="center"/>
        <w:textAlignment w:val="center"/>
        <w:rPr>
          <w:rFonts w:ascii="Calibri" w:eastAsia="Times New Roman" w:hAnsi="Calibri" w:cs="Tahoma"/>
          <w:color w:val="595959"/>
          <w:spacing w:val="4"/>
          <w:sz w:val="72"/>
          <w:szCs w:val="22"/>
          <w:lang w:val="en-GB"/>
        </w:rPr>
      </w:pPr>
      <w:r w:rsidRPr="009C7A56">
        <w:rPr>
          <w:rFonts w:ascii="Calibri" w:eastAsia="Times New Roman" w:hAnsi="Calibri" w:cs="Tahoma"/>
          <w:color w:val="595959"/>
          <w:spacing w:val="4"/>
          <w:sz w:val="72"/>
          <w:szCs w:val="22"/>
          <w:lang w:val="en-GB"/>
        </w:rPr>
        <w:t>Sugar Terminals Limited</w:t>
      </w:r>
    </w:p>
    <w:p w14:paraId="67082CBC" w14:textId="44483955" w:rsidR="00F33C4D" w:rsidRDefault="00DD305B" w:rsidP="00F33C4D">
      <w:pPr>
        <w:widowControl w:val="0"/>
        <w:tabs>
          <w:tab w:val="left" w:pos="6096"/>
        </w:tabs>
        <w:autoSpaceDE w:val="0"/>
        <w:autoSpaceDN w:val="0"/>
        <w:adjustRightInd w:val="0"/>
        <w:spacing w:after="200" w:line="276" w:lineRule="auto"/>
        <w:ind w:left="-567"/>
        <w:jc w:val="center"/>
        <w:textAlignment w:val="center"/>
        <w:rPr>
          <w:rFonts w:ascii="Calibri" w:eastAsia="Times New Roman" w:hAnsi="Calibri" w:cs="Tahoma"/>
          <w:color w:val="595959"/>
          <w:spacing w:val="4"/>
          <w:sz w:val="72"/>
          <w:szCs w:val="22"/>
          <w:lang w:val="en-GB"/>
        </w:rPr>
      </w:pPr>
      <w:r>
        <w:rPr>
          <w:rFonts w:ascii="Calibri" w:eastAsia="Times New Roman" w:hAnsi="Calibri" w:cs="Tahoma"/>
          <w:color w:val="595959"/>
          <w:spacing w:val="4"/>
          <w:sz w:val="72"/>
          <w:szCs w:val="22"/>
          <w:lang w:val="en-GB"/>
        </w:rPr>
        <w:t>Board</w:t>
      </w:r>
      <w:r w:rsidR="00F33C4D">
        <w:rPr>
          <w:rFonts w:ascii="Calibri" w:eastAsia="Times New Roman" w:hAnsi="Calibri" w:cs="Tahoma"/>
          <w:color w:val="595959"/>
          <w:spacing w:val="4"/>
          <w:sz w:val="72"/>
          <w:szCs w:val="22"/>
          <w:lang w:val="en-GB"/>
        </w:rPr>
        <w:t xml:space="preserve"> </w:t>
      </w:r>
      <w:r>
        <w:rPr>
          <w:rFonts w:ascii="Calibri" w:eastAsia="Times New Roman" w:hAnsi="Calibri" w:cs="Tahoma"/>
          <w:color w:val="595959"/>
          <w:spacing w:val="4"/>
          <w:sz w:val="72"/>
          <w:szCs w:val="22"/>
          <w:lang w:val="en-GB"/>
        </w:rPr>
        <w:t>Charter</w:t>
      </w:r>
    </w:p>
    <w:p w14:paraId="21CC4547" w14:textId="77777777" w:rsidR="00480B36" w:rsidRPr="009C7A56" w:rsidRDefault="00480B36" w:rsidP="00F33C4D">
      <w:pPr>
        <w:widowControl w:val="0"/>
        <w:tabs>
          <w:tab w:val="left" w:pos="6096"/>
        </w:tabs>
        <w:autoSpaceDE w:val="0"/>
        <w:autoSpaceDN w:val="0"/>
        <w:adjustRightInd w:val="0"/>
        <w:spacing w:after="200" w:line="276" w:lineRule="auto"/>
        <w:ind w:left="-567"/>
        <w:jc w:val="center"/>
        <w:textAlignment w:val="center"/>
        <w:rPr>
          <w:rFonts w:ascii="Calibri" w:eastAsia="Times New Roman" w:hAnsi="Calibri" w:cs="Tahoma"/>
          <w:color w:val="595959"/>
          <w:spacing w:val="4"/>
          <w:sz w:val="72"/>
          <w:szCs w:val="22"/>
          <w:lang w:val="en-GB"/>
        </w:rPr>
      </w:pPr>
    </w:p>
    <w:p w14:paraId="3FA90B34" w14:textId="77777777" w:rsidR="00F33C4D" w:rsidRDefault="00F33C4D" w:rsidP="00F33C4D">
      <w:pPr>
        <w:rPr>
          <w:rFonts w:eastAsiaTheme="majorEastAsia" w:cstheme="majorBidi"/>
          <w:color w:val="595959" w:themeColor="text1" w:themeTint="A6"/>
          <w:spacing w:val="5"/>
          <w:kern w:val="28"/>
          <w:sz w:val="56"/>
          <w:szCs w:val="52"/>
          <w:lang w:bidi="en-US"/>
        </w:rPr>
      </w:pPr>
      <w:r>
        <w:br w:type="page"/>
      </w:r>
    </w:p>
    <w:sdt>
      <w:sdtPr>
        <w:rPr>
          <w:rFonts w:ascii="Arial" w:eastAsiaTheme="minorHAnsi" w:hAnsi="Arial" w:cs="Arial"/>
          <w:b/>
          <w:bCs/>
          <w:color w:val="auto"/>
          <w:spacing w:val="0"/>
          <w:kern w:val="0"/>
          <w:sz w:val="22"/>
          <w:szCs w:val="22"/>
          <w:lang w:val="en-AU" w:bidi="ar-SA"/>
        </w:rPr>
        <w:id w:val="3138069"/>
        <w:docPartObj>
          <w:docPartGallery w:val="Table of Contents"/>
          <w:docPartUnique/>
        </w:docPartObj>
      </w:sdtPr>
      <w:sdtEndPr>
        <w:rPr>
          <w:rFonts w:asciiTheme="majorHAnsi" w:eastAsiaTheme="minorEastAsia" w:hAnsiTheme="majorHAnsi" w:cs="DIN-Regular"/>
          <w:b w:val="0"/>
          <w:bCs w:val="0"/>
          <w:color w:val="000000"/>
          <w:szCs w:val="17"/>
          <w:lang w:val="en-US"/>
        </w:rPr>
      </w:sdtEndPr>
      <w:sdtContent>
        <w:p w14:paraId="531F9ABD" w14:textId="4C60729A" w:rsidR="00196565" w:rsidRPr="00120F85" w:rsidRDefault="00196565" w:rsidP="00196565">
          <w:pPr>
            <w:pStyle w:val="Title"/>
          </w:pPr>
          <w:r w:rsidRPr="00120F85">
            <w:t xml:space="preserve">Table of </w:t>
          </w:r>
          <w:r w:rsidR="00E107D9">
            <w:t>c</w:t>
          </w:r>
          <w:r w:rsidR="00E107D9" w:rsidRPr="00120F85">
            <w:t>ontents</w:t>
          </w:r>
        </w:p>
        <w:p w14:paraId="521818C2" w14:textId="77E3DE5E" w:rsidR="008F7BE0" w:rsidRDefault="00196565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r>
            <w:rPr>
              <w:rFonts w:asciiTheme="minorHAnsi" w:hAnsiTheme="minorHAnsi"/>
              <w:b/>
            </w:rPr>
            <w:fldChar w:fldCharType="begin"/>
          </w:r>
          <w:r>
            <w:rPr>
              <w:rFonts w:asciiTheme="minorHAnsi" w:hAnsiTheme="minorHAnsi"/>
              <w:b/>
            </w:rPr>
            <w:instrText xml:space="preserve"> TOC \o "2-3" \h \z \t "Heading 1,1,Style 2,1,Heading2,2,Heading3,3,Cover Heading,1" </w:instrText>
          </w:r>
          <w:r>
            <w:rPr>
              <w:rFonts w:asciiTheme="minorHAnsi" w:hAnsiTheme="minorHAnsi"/>
              <w:b/>
            </w:rPr>
            <w:fldChar w:fldCharType="separate"/>
          </w:r>
          <w:hyperlink w:anchor="_Toc126325722" w:history="1">
            <w:r w:rsidR="008F7BE0" w:rsidRPr="00441ED1">
              <w:rPr>
                <w:rStyle w:val="Hyperlink"/>
                <w:noProof/>
              </w:rPr>
              <w:t>1. Introduction</w:t>
            </w:r>
            <w:r w:rsidR="008F7BE0">
              <w:rPr>
                <w:noProof/>
                <w:webHidden/>
              </w:rPr>
              <w:tab/>
            </w:r>
            <w:r w:rsidR="008F7BE0">
              <w:rPr>
                <w:noProof/>
                <w:webHidden/>
              </w:rPr>
              <w:fldChar w:fldCharType="begin"/>
            </w:r>
            <w:r w:rsidR="008F7BE0">
              <w:rPr>
                <w:noProof/>
                <w:webHidden/>
              </w:rPr>
              <w:instrText xml:space="preserve"> PAGEREF _Toc126325722 \h </w:instrText>
            </w:r>
            <w:r w:rsidR="008F7BE0">
              <w:rPr>
                <w:noProof/>
                <w:webHidden/>
              </w:rPr>
            </w:r>
            <w:r w:rsidR="008F7BE0">
              <w:rPr>
                <w:noProof/>
                <w:webHidden/>
              </w:rPr>
              <w:fldChar w:fldCharType="separate"/>
            </w:r>
            <w:r w:rsidR="008F7BE0">
              <w:rPr>
                <w:noProof/>
                <w:webHidden/>
              </w:rPr>
              <w:t>3</w:t>
            </w:r>
            <w:r w:rsidR="008F7BE0">
              <w:rPr>
                <w:noProof/>
                <w:webHidden/>
              </w:rPr>
              <w:fldChar w:fldCharType="end"/>
            </w:r>
          </w:hyperlink>
        </w:p>
        <w:p w14:paraId="017AABF6" w14:textId="77A392F9" w:rsidR="008F7BE0" w:rsidRDefault="008F7BE0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6325723" w:history="1">
            <w:r w:rsidRPr="00441ED1">
              <w:rPr>
                <w:rStyle w:val="Hyperlink"/>
                <w:noProof/>
              </w:rPr>
              <w:t>2. Role of the Board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_Toc126325723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23BBE8" w14:textId="4CF30CA1" w:rsidR="008F7BE0" w:rsidRDefault="008F7BE0">
          <w:pPr>
            <w:pStyle w:val="TOC2"/>
            <w:tabs>
              <w:tab w:val="right" w:leader="dot" w:pos="8680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en-AU"/>
            </w:rPr>
          </w:pPr>
          <w:hyperlink w:anchor="_Toc126325724" w:history="1">
            <w:r w:rsidRPr="00441ED1">
              <w:rPr>
                <w:rStyle w:val="Hyperlink"/>
                <w:noProof/>
              </w:rPr>
              <w:t>2.1 The role of the Board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_Toc126325724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EC8E52" w14:textId="3B6910BA" w:rsidR="008F7BE0" w:rsidRDefault="008F7BE0">
          <w:pPr>
            <w:pStyle w:val="TOC2"/>
            <w:tabs>
              <w:tab w:val="right" w:leader="dot" w:pos="8680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en-AU"/>
            </w:rPr>
          </w:pPr>
          <w:hyperlink w:anchor="_Toc126325725" w:history="1">
            <w:r w:rsidRPr="00441ED1">
              <w:rPr>
                <w:rStyle w:val="Hyperlink"/>
                <w:noProof/>
              </w:rPr>
              <w:t>2.2 The Board and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_Toc126325725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1CB954" w14:textId="604DFFCC" w:rsidR="008F7BE0" w:rsidRDefault="008F7BE0">
          <w:pPr>
            <w:pStyle w:val="TOC2"/>
            <w:tabs>
              <w:tab w:val="right" w:leader="dot" w:pos="8680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en-AU"/>
            </w:rPr>
          </w:pPr>
          <w:hyperlink w:anchor="_Toc126325726" w:history="1">
            <w:r w:rsidRPr="00441ED1">
              <w:rPr>
                <w:rStyle w:val="Hyperlink"/>
                <w:noProof/>
              </w:rPr>
              <w:t>2.3 Board Committees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_Toc126325726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FEA7AE" w14:textId="7A78900B" w:rsidR="008F7BE0" w:rsidRDefault="008F7BE0">
          <w:pPr>
            <w:pStyle w:val="TOC2"/>
            <w:tabs>
              <w:tab w:val="right" w:leader="dot" w:pos="8680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en-AU"/>
            </w:rPr>
          </w:pPr>
          <w:hyperlink w:anchor="_Toc126325727" w:history="1">
            <w:r w:rsidRPr="00441ED1">
              <w:rPr>
                <w:rStyle w:val="Hyperlink"/>
                <w:noProof/>
              </w:rPr>
              <w:t>2.4 Delegations of authority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_Toc126325727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7381B9" w14:textId="3884F9D3" w:rsidR="008F7BE0" w:rsidRDefault="008F7BE0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6325728" w:history="1">
            <w:r w:rsidRPr="00441ED1">
              <w:rPr>
                <w:rStyle w:val="Hyperlink"/>
                <w:noProof/>
              </w:rPr>
              <w:t>3. Board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_Toc126325728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4462EF" w14:textId="20DBF4B9" w:rsidR="008F7BE0" w:rsidRDefault="008F7BE0">
          <w:pPr>
            <w:pStyle w:val="TOC2"/>
            <w:tabs>
              <w:tab w:val="right" w:leader="dot" w:pos="8680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en-AU"/>
            </w:rPr>
          </w:pPr>
          <w:hyperlink w:anchor="_Toc126325729" w:history="1">
            <w:r w:rsidRPr="00441ED1">
              <w:rPr>
                <w:rStyle w:val="Hyperlink"/>
                <w:noProof/>
              </w:rPr>
              <w:t>3.1 Number of Directors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_Toc126325729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9444AA" w14:textId="2A69DDDA" w:rsidR="008F7BE0" w:rsidRDefault="008F7BE0">
          <w:pPr>
            <w:pStyle w:val="TOC2"/>
            <w:tabs>
              <w:tab w:val="right" w:leader="dot" w:pos="8680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en-AU"/>
            </w:rPr>
          </w:pPr>
          <w:hyperlink w:anchor="_Toc126325730" w:history="1">
            <w:r w:rsidRPr="00441ED1">
              <w:rPr>
                <w:rStyle w:val="Hyperlink"/>
                <w:noProof/>
              </w:rPr>
              <w:t>3.2 Board skills and diversity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_Toc126325730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1AFF6E" w14:textId="50B298B4" w:rsidR="008F7BE0" w:rsidRDefault="008F7BE0">
          <w:pPr>
            <w:pStyle w:val="TOC2"/>
            <w:tabs>
              <w:tab w:val="right" w:leader="dot" w:pos="8680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en-AU"/>
            </w:rPr>
          </w:pPr>
          <w:hyperlink w:anchor="_Toc126325731" w:history="1">
            <w:r w:rsidRPr="00441ED1">
              <w:rPr>
                <w:rStyle w:val="Hyperlink"/>
                <w:noProof/>
              </w:rPr>
              <w:t>3.3 Terms and conditions of appointment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_Toc126325731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C5F859" w14:textId="0DDAC0FC" w:rsidR="008F7BE0" w:rsidRDefault="008F7BE0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6325732" w:history="1">
            <w:r w:rsidRPr="00441ED1">
              <w:rPr>
                <w:rStyle w:val="Hyperlink"/>
                <w:noProof/>
              </w:rPr>
              <w:t>4. The role of individual Directors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_Toc126325732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D562EB" w14:textId="555863A8" w:rsidR="008F7BE0" w:rsidRDefault="008F7BE0">
          <w:pPr>
            <w:pStyle w:val="TOC2"/>
            <w:tabs>
              <w:tab w:val="right" w:leader="dot" w:pos="8680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en-AU"/>
            </w:rPr>
          </w:pPr>
          <w:hyperlink w:anchor="_Toc126325733" w:history="1">
            <w:r w:rsidRPr="00441ED1">
              <w:rPr>
                <w:rStyle w:val="Hyperlink"/>
                <w:noProof/>
              </w:rPr>
              <w:t>4.1 Directors’ general roles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_Toc126325733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40C37D" w14:textId="32CDCD2F" w:rsidR="008F7BE0" w:rsidRDefault="008F7BE0">
          <w:pPr>
            <w:pStyle w:val="TOC2"/>
            <w:tabs>
              <w:tab w:val="right" w:leader="dot" w:pos="8680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en-AU"/>
            </w:rPr>
          </w:pPr>
          <w:hyperlink w:anchor="_Toc126325734" w:history="1">
            <w:r w:rsidRPr="00441ED1">
              <w:rPr>
                <w:rStyle w:val="Hyperlink"/>
                <w:noProof/>
              </w:rPr>
              <w:t>4.2 Directors’ code of conduct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_Toc126325734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985E64" w14:textId="493F3C8E" w:rsidR="008F7BE0" w:rsidRDefault="008F7BE0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6325735" w:history="1">
            <w:r w:rsidRPr="00441ED1">
              <w:rPr>
                <w:rStyle w:val="Hyperlink"/>
                <w:noProof/>
              </w:rPr>
              <w:t>5. The role of the Chair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_Toc126325735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69DCD9" w14:textId="22936843" w:rsidR="008F7BE0" w:rsidRDefault="008F7BE0">
          <w:pPr>
            <w:pStyle w:val="TOC2"/>
            <w:tabs>
              <w:tab w:val="right" w:leader="dot" w:pos="8680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en-AU"/>
            </w:rPr>
          </w:pPr>
          <w:hyperlink w:anchor="_Toc126325736" w:history="1">
            <w:r w:rsidRPr="00441ED1">
              <w:rPr>
                <w:rStyle w:val="Hyperlink"/>
                <w:noProof/>
              </w:rPr>
              <w:t>5.1 Appointment of Chair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_Toc126325736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4A455A" w14:textId="0E9ADCED" w:rsidR="008F7BE0" w:rsidRDefault="008F7BE0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6325737" w:history="1">
            <w:r w:rsidRPr="00441ED1">
              <w:rPr>
                <w:rStyle w:val="Hyperlink"/>
                <w:noProof/>
              </w:rPr>
              <w:t>6. The role of the Company Secretary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_Toc126325737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536357" w14:textId="51C546EF" w:rsidR="008F7BE0" w:rsidRDefault="008F7BE0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6325738" w:history="1">
            <w:r w:rsidRPr="00441ED1">
              <w:rPr>
                <w:rStyle w:val="Hyperlink"/>
                <w:noProof/>
              </w:rPr>
              <w:t>7. The role of the CEO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_Toc126325738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16CBAF" w14:textId="722BA682" w:rsidR="008F7BE0" w:rsidRDefault="008F7BE0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6325739" w:history="1">
            <w:r w:rsidRPr="00441ED1">
              <w:rPr>
                <w:rStyle w:val="Hyperlink"/>
                <w:noProof/>
              </w:rPr>
              <w:t>8. Compliance, risk management and internal controls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_Toc126325739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90D290" w14:textId="0767E7B6" w:rsidR="008F7BE0" w:rsidRDefault="008F7BE0">
          <w:pPr>
            <w:pStyle w:val="TOC2"/>
            <w:tabs>
              <w:tab w:val="right" w:leader="dot" w:pos="8680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en-AU"/>
            </w:rPr>
          </w:pPr>
          <w:hyperlink w:anchor="_Toc126325740" w:history="1">
            <w:r w:rsidRPr="00441ED1">
              <w:rPr>
                <w:rStyle w:val="Hyperlink"/>
                <w:noProof/>
              </w:rPr>
              <w:t>8.1 Compliance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_Toc126325740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EABDED" w14:textId="0E1A03AA" w:rsidR="008F7BE0" w:rsidRDefault="008F7BE0">
          <w:pPr>
            <w:pStyle w:val="TOC2"/>
            <w:tabs>
              <w:tab w:val="right" w:leader="dot" w:pos="8680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en-AU"/>
            </w:rPr>
          </w:pPr>
          <w:hyperlink w:anchor="_Toc126325741" w:history="1">
            <w:r w:rsidRPr="00441ED1">
              <w:rPr>
                <w:rStyle w:val="Hyperlink"/>
                <w:noProof/>
              </w:rPr>
              <w:t>8.2 Risk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_Toc126325741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4D7E2" w14:textId="6CE85822" w:rsidR="008F7BE0" w:rsidRDefault="008F7BE0">
          <w:pPr>
            <w:pStyle w:val="TOC2"/>
            <w:tabs>
              <w:tab w:val="right" w:leader="dot" w:pos="8680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en-AU"/>
            </w:rPr>
          </w:pPr>
          <w:hyperlink w:anchor="_Toc126325742" w:history="1">
            <w:r w:rsidRPr="00441ED1">
              <w:rPr>
                <w:rStyle w:val="Hyperlink"/>
                <w:noProof/>
              </w:rPr>
              <w:t>8.3 Internal controls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_Toc126325742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5AC814" w14:textId="4ABE69E1" w:rsidR="008F7BE0" w:rsidRDefault="008F7BE0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6325743" w:history="1">
            <w:r w:rsidRPr="00441ED1">
              <w:rPr>
                <w:rStyle w:val="Hyperlink"/>
                <w:noProof/>
              </w:rPr>
              <w:t>9. Board meetings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_Toc126325743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BA7770" w14:textId="6C413455" w:rsidR="008F7BE0" w:rsidRDefault="008F7BE0">
          <w:pPr>
            <w:pStyle w:val="TOC2"/>
            <w:tabs>
              <w:tab w:val="right" w:leader="dot" w:pos="8680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en-AU"/>
            </w:rPr>
          </w:pPr>
          <w:hyperlink w:anchor="_Toc126325744" w:history="1">
            <w:r w:rsidRPr="00441ED1">
              <w:rPr>
                <w:rStyle w:val="Hyperlink"/>
                <w:noProof/>
              </w:rPr>
              <w:t>9.1 Disclosure of interest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_Toc126325744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84EB2B" w14:textId="24B2B4A5" w:rsidR="008F7BE0" w:rsidRDefault="008F7BE0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6325745" w:history="1">
            <w:r w:rsidRPr="00441ED1">
              <w:rPr>
                <w:rStyle w:val="Hyperlink"/>
                <w:noProof/>
              </w:rPr>
              <w:t>10. Board and CEO evaluation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_Toc126325745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3E7E2D" w14:textId="722ABC6C" w:rsidR="008F7BE0" w:rsidRDefault="008F7BE0">
          <w:pPr>
            <w:pStyle w:val="TOC2"/>
            <w:tabs>
              <w:tab w:val="right" w:leader="dot" w:pos="8680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en-AU"/>
            </w:rPr>
          </w:pPr>
          <w:hyperlink w:anchor="_Toc126325746" w:history="1">
            <w:r w:rsidRPr="00441ED1">
              <w:rPr>
                <w:rStyle w:val="Hyperlink"/>
                <w:noProof/>
              </w:rPr>
              <w:t>10.1 Board evaluation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_Toc126325746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7B6EF9" w14:textId="3A636B1D" w:rsidR="008F7BE0" w:rsidRDefault="008F7BE0">
          <w:pPr>
            <w:pStyle w:val="TOC2"/>
            <w:tabs>
              <w:tab w:val="right" w:leader="dot" w:pos="8680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en-AU"/>
            </w:rPr>
          </w:pPr>
          <w:hyperlink w:anchor="_Toc126325747" w:history="1">
            <w:r w:rsidRPr="00441ED1">
              <w:rPr>
                <w:rStyle w:val="Hyperlink"/>
                <w:noProof/>
              </w:rPr>
              <w:t>10.2 CEO evaluation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_Toc126325747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5D0C24" w14:textId="31017D7B" w:rsidR="008F7BE0" w:rsidRDefault="008F7BE0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6325748" w:history="1">
            <w:r w:rsidRPr="00441ED1">
              <w:rPr>
                <w:rStyle w:val="Hyperlink"/>
                <w:noProof/>
              </w:rPr>
              <w:t>11. Remuneration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_Toc126325748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A79811" w14:textId="1D66A537" w:rsidR="008F7BE0" w:rsidRDefault="008F7BE0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6325749" w:history="1">
            <w:r w:rsidRPr="00441ED1">
              <w:rPr>
                <w:rStyle w:val="Hyperlink"/>
                <w:noProof/>
              </w:rPr>
              <w:t>12. Director induction and development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_Toc126325749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81BFF6" w14:textId="7E66F136" w:rsidR="008F7BE0" w:rsidRDefault="008F7BE0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6325750" w:history="1">
            <w:r w:rsidRPr="00441ED1">
              <w:rPr>
                <w:rStyle w:val="Hyperlink"/>
                <w:noProof/>
              </w:rPr>
              <w:t>13.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_Toc126325750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ADF68A" w14:textId="63FD1DCA" w:rsidR="008F7BE0" w:rsidRDefault="008F7BE0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6325751" w:history="1">
            <w:r w:rsidRPr="00441ED1">
              <w:rPr>
                <w:rStyle w:val="Hyperlink"/>
                <w:noProof/>
              </w:rPr>
              <w:t>14. Publication of Charter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_Toc126325751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60FB9" w14:textId="74D7F27B" w:rsidR="00196565" w:rsidRDefault="00196565" w:rsidP="00196565">
          <w:r>
            <w:rPr>
              <w:rFonts w:asciiTheme="minorHAnsi" w:eastAsiaTheme="minorHAnsi" w:hAnsiTheme="minorHAnsi" w:cstheme="minorBidi"/>
              <w:b/>
              <w:color w:val="auto"/>
              <w:szCs w:val="22"/>
              <w:lang w:val="en-AU"/>
            </w:rPr>
            <w:fldChar w:fldCharType="end"/>
          </w:r>
        </w:p>
      </w:sdtContent>
    </w:sdt>
    <w:p w14:paraId="0D95E921" w14:textId="77777777" w:rsidR="00196565" w:rsidRDefault="00196565" w:rsidP="00196565"/>
    <w:p w14:paraId="4B1D3DF3" w14:textId="77777777" w:rsidR="00F33C4D" w:rsidRDefault="00F33C4D">
      <w:r>
        <w:br w:type="page"/>
      </w:r>
    </w:p>
    <w:p w14:paraId="3BDE7E80" w14:textId="77777777" w:rsidR="00C57812" w:rsidRDefault="00F33C4D" w:rsidP="00F33C4D">
      <w:pPr>
        <w:pStyle w:val="Heading1"/>
      </w:pPr>
      <w:bookmarkStart w:id="0" w:name="_Toc126325722"/>
      <w:r>
        <w:lastRenderedPageBreak/>
        <w:t>1. Introduction</w:t>
      </w:r>
      <w:bookmarkEnd w:id="0"/>
    </w:p>
    <w:p w14:paraId="61A7CB91" w14:textId="41FA165C" w:rsidR="00F33C4D" w:rsidRPr="003C7A35" w:rsidRDefault="00F33C4D" w:rsidP="00F33C4D">
      <w:pPr>
        <w:pStyle w:val="NormalText"/>
      </w:pPr>
      <w:r w:rsidRPr="003C7A35">
        <w:t xml:space="preserve">This </w:t>
      </w:r>
      <w:r w:rsidR="00DD305B">
        <w:t>Board</w:t>
      </w:r>
      <w:r w:rsidRPr="003C7A35">
        <w:t xml:space="preserve"> </w:t>
      </w:r>
      <w:r w:rsidR="00DD305B">
        <w:t>Charter</w:t>
      </w:r>
      <w:r w:rsidRPr="003C7A35">
        <w:t xml:space="preserve"> sets out the functions and responsibilities of the </w:t>
      </w:r>
      <w:r w:rsidR="00DD305B">
        <w:t>Board</w:t>
      </w:r>
      <w:r w:rsidRPr="003C7A35">
        <w:t xml:space="preserve"> of </w:t>
      </w:r>
      <w:r w:rsidR="00DD305B">
        <w:t>Director</w:t>
      </w:r>
      <w:r w:rsidRPr="003C7A35">
        <w:t xml:space="preserve">s (the </w:t>
      </w:r>
      <w:r w:rsidR="00DD305B">
        <w:t>Board</w:t>
      </w:r>
      <w:r w:rsidRPr="003C7A35">
        <w:t>) and the management of Sugar Terminals Limited</w:t>
      </w:r>
      <w:r w:rsidR="00CC453A">
        <w:t xml:space="preserve"> (STL)</w:t>
      </w:r>
      <w:r w:rsidRPr="003C7A35">
        <w:t>.</w:t>
      </w:r>
    </w:p>
    <w:p w14:paraId="7D39560F" w14:textId="77777777" w:rsidR="00F33C4D" w:rsidRPr="003C7A35" w:rsidRDefault="00F33C4D" w:rsidP="00F33C4D">
      <w:pPr>
        <w:pStyle w:val="NormalText"/>
      </w:pPr>
      <w:r w:rsidRPr="003C7A35">
        <w:t>S</w:t>
      </w:r>
      <w:r w:rsidR="00CC453A">
        <w:t>T</w:t>
      </w:r>
      <w:r w:rsidRPr="003C7A35">
        <w:t>L</w:t>
      </w:r>
      <w:r w:rsidR="00CC453A">
        <w:t xml:space="preserve"> </w:t>
      </w:r>
      <w:r w:rsidRPr="003C7A35">
        <w:t xml:space="preserve">is a public </w:t>
      </w:r>
      <w:r w:rsidR="00DD305B">
        <w:t>Company</w:t>
      </w:r>
      <w:r w:rsidRPr="003C7A35">
        <w:t xml:space="preserve"> limited by shares listed on the National Stock Exchange of Australia (NSX). It is governed in accordance with the </w:t>
      </w:r>
      <w:r w:rsidRPr="003C7A35">
        <w:rPr>
          <w:i/>
        </w:rPr>
        <w:t>Corporations Act 2011</w:t>
      </w:r>
      <w:r w:rsidRPr="003C7A35">
        <w:t xml:space="preserve"> (</w:t>
      </w:r>
      <w:proofErr w:type="spellStart"/>
      <w:r w:rsidRPr="003C7A35">
        <w:t>Cth</w:t>
      </w:r>
      <w:proofErr w:type="spellEnd"/>
      <w:r w:rsidRPr="003C7A35">
        <w:t xml:space="preserve">), the </w:t>
      </w:r>
      <w:r w:rsidR="00DD305B">
        <w:t>Company</w:t>
      </w:r>
      <w:r w:rsidRPr="003C7A35">
        <w:t xml:space="preserve">’s Constitution and the NSX Listing Rules. If there is any conflict between this </w:t>
      </w:r>
      <w:r w:rsidR="00DD305B">
        <w:t>Charter</w:t>
      </w:r>
      <w:r w:rsidRPr="003C7A35">
        <w:t xml:space="preserve"> and the Constitution, the Constitution prevails.</w:t>
      </w:r>
    </w:p>
    <w:p w14:paraId="1BA77C3B" w14:textId="34B3B6A2" w:rsidR="00865E5F" w:rsidRDefault="00F33C4D" w:rsidP="00F33C4D">
      <w:pPr>
        <w:pStyle w:val="NormalText"/>
      </w:pPr>
      <w:r w:rsidRPr="003C7A35">
        <w:rPr>
          <w:rFonts w:eastAsia="Times New Roman"/>
          <w:lang w:eastAsia="en-AU"/>
        </w:rPr>
        <w:t xml:space="preserve">The </w:t>
      </w:r>
      <w:r w:rsidR="00DD305B">
        <w:rPr>
          <w:rFonts w:eastAsia="Times New Roman"/>
          <w:lang w:eastAsia="en-AU"/>
        </w:rPr>
        <w:t>Company</w:t>
      </w:r>
      <w:r w:rsidRPr="003C7A35">
        <w:rPr>
          <w:rFonts w:eastAsia="Times New Roman"/>
          <w:lang w:eastAsia="en-AU"/>
        </w:rPr>
        <w:t xml:space="preserve"> owns </w:t>
      </w:r>
      <w:r w:rsidR="003F5BD5">
        <w:rPr>
          <w:rFonts w:eastAsia="Times New Roman"/>
          <w:lang w:eastAsia="en-AU"/>
        </w:rPr>
        <w:t xml:space="preserve">and operates </w:t>
      </w:r>
      <w:r w:rsidRPr="003C7A35">
        <w:rPr>
          <w:rFonts w:eastAsia="Times New Roman"/>
          <w:lang w:eastAsia="en-AU"/>
        </w:rPr>
        <w:t xml:space="preserve">six bulk sugar terminals located in the ports of Cairns, </w:t>
      </w:r>
      <w:proofErr w:type="spellStart"/>
      <w:r w:rsidRPr="003C7A35">
        <w:rPr>
          <w:rFonts w:eastAsia="Times New Roman"/>
          <w:lang w:eastAsia="en-AU"/>
        </w:rPr>
        <w:t>Mourilyan</w:t>
      </w:r>
      <w:proofErr w:type="spellEnd"/>
      <w:r w:rsidRPr="003C7A35">
        <w:rPr>
          <w:rFonts w:eastAsia="Times New Roman"/>
          <w:lang w:eastAsia="en-AU"/>
        </w:rPr>
        <w:t xml:space="preserve">, Lucinda, Townsville, </w:t>
      </w:r>
      <w:proofErr w:type="gramStart"/>
      <w:r w:rsidRPr="003C7A35">
        <w:rPr>
          <w:rFonts w:eastAsia="Times New Roman"/>
          <w:lang w:eastAsia="en-AU"/>
        </w:rPr>
        <w:t>Mackay</w:t>
      </w:r>
      <w:proofErr w:type="gramEnd"/>
      <w:r w:rsidRPr="003C7A35">
        <w:rPr>
          <w:rFonts w:eastAsia="Times New Roman"/>
          <w:lang w:eastAsia="en-AU"/>
        </w:rPr>
        <w:t xml:space="preserve"> and Bundaberg.  </w:t>
      </w:r>
      <w:bookmarkStart w:id="1" w:name="_Toc477170944"/>
    </w:p>
    <w:p w14:paraId="0355A3CD" w14:textId="703E112B" w:rsidR="00F33C4D" w:rsidRDefault="00F33C4D" w:rsidP="00F33C4D">
      <w:pPr>
        <w:pStyle w:val="NormalText"/>
      </w:pPr>
      <w:r w:rsidRPr="003C7A35">
        <w:t>STL has two classes of shareholders: cane</w:t>
      </w:r>
      <w:r w:rsidR="00CC453A">
        <w:t xml:space="preserve"> </w:t>
      </w:r>
      <w:r w:rsidRPr="003C7A35">
        <w:t>growers who hold G</w:t>
      </w:r>
      <w:r w:rsidR="00CC453A">
        <w:t xml:space="preserve"> C</w:t>
      </w:r>
      <w:r w:rsidRPr="003C7A35">
        <w:t>lass sha</w:t>
      </w:r>
      <w:r w:rsidR="00144EE4">
        <w:t>res and miller</w:t>
      </w:r>
      <w:r w:rsidR="00B0321B">
        <w:t>s</w:t>
      </w:r>
      <w:r w:rsidR="00144EE4">
        <w:t xml:space="preserve"> who hold </w:t>
      </w:r>
      <w:r w:rsidRPr="003C7A35">
        <w:t>M</w:t>
      </w:r>
      <w:r w:rsidR="00144EE4">
        <w:t xml:space="preserve"> C</w:t>
      </w:r>
      <w:r w:rsidRPr="003C7A35">
        <w:t xml:space="preserve">lass shares. STL’s G </w:t>
      </w:r>
      <w:r w:rsidR="00144EE4">
        <w:t>C</w:t>
      </w:r>
      <w:r w:rsidRPr="003C7A35">
        <w:t>lass shares are listed on the NSX.</w:t>
      </w:r>
      <w:bookmarkEnd w:id="1"/>
    </w:p>
    <w:p w14:paraId="0779A413" w14:textId="77777777" w:rsidR="00F33C4D" w:rsidRDefault="00F33C4D" w:rsidP="00F33C4D">
      <w:pPr>
        <w:pStyle w:val="Heading1"/>
      </w:pPr>
      <w:bookmarkStart w:id="2" w:name="_Toc126325723"/>
      <w:r>
        <w:t xml:space="preserve">2. Role of the </w:t>
      </w:r>
      <w:r w:rsidR="00DD305B">
        <w:t>Board</w:t>
      </w:r>
      <w:bookmarkEnd w:id="2"/>
    </w:p>
    <w:p w14:paraId="60983402" w14:textId="1124C3FB" w:rsidR="004100FB" w:rsidRDefault="004100FB" w:rsidP="004100FB">
      <w:pPr>
        <w:pStyle w:val="Heading2"/>
      </w:pPr>
      <w:bookmarkStart w:id="3" w:name="_Toc126325724"/>
      <w:r>
        <w:t xml:space="preserve">2.1 The </w:t>
      </w:r>
      <w:r w:rsidR="00E107D9">
        <w:t xml:space="preserve">role </w:t>
      </w:r>
      <w:r>
        <w:t xml:space="preserve">of the </w:t>
      </w:r>
      <w:r w:rsidR="00DD305B">
        <w:t>Board</w:t>
      </w:r>
      <w:bookmarkEnd w:id="3"/>
    </w:p>
    <w:p w14:paraId="4A101907" w14:textId="42050E2A" w:rsidR="004100FB" w:rsidRPr="00D16091" w:rsidRDefault="00B0321B" w:rsidP="004100FB">
      <w:pPr>
        <w:pStyle w:val="NormalText"/>
      </w:pPr>
      <w:r w:rsidRPr="00CD6065">
        <w:t xml:space="preserve">The </w:t>
      </w:r>
      <w:r>
        <w:t>Board</w:t>
      </w:r>
      <w:r w:rsidRPr="00CD6065">
        <w:t xml:space="preserve"> has the final responsibility for the successful operations of </w:t>
      </w:r>
      <w:r>
        <w:t>STL</w:t>
      </w:r>
      <w:r w:rsidRPr="00CD6065">
        <w:t xml:space="preserve">. </w:t>
      </w:r>
      <w:r w:rsidR="004100FB" w:rsidRPr="00D16091">
        <w:t xml:space="preserve">The </w:t>
      </w:r>
      <w:r w:rsidR="00DD305B">
        <w:t>Board</w:t>
      </w:r>
      <w:r w:rsidR="004100FB" w:rsidRPr="00D16091">
        <w:t xml:space="preserve">’s authority to govern the </w:t>
      </w:r>
      <w:r w:rsidR="00DD305B">
        <w:t>Company</w:t>
      </w:r>
      <w:r w:rsidR="004100FB" w:rsidRPr="00D16091">
        <w:t xml:space="preserve"> com</w:t>
      </w:r>
      <w:r w:rsidR="004100FB">
        <w:t xml:space="preserve">es via the Constitution, Article 19.1.  </w:t>
      </w:r>
      <w:r w:rsidR="004100FB" w:rsidRPr="00D16091">
        <w:t xml:space="preserve">Under the Constitution, the </w:t>
      </w:r>
      <w:r w:rsidR="00DD305B">
        <w:t>Director</w:t>
      </w:r>
      <w:r w:rsidR="004100FB" w:rsidRPr="00D16091">
        <w:t xml:space="preserve">s may delegate any of their powers to </w:t>
      </w:r>
      <w:r w:rsidR="004100FB">
        <w:t xml:space="preserve">one or more </w:t>
      </w:r>
      <w:r w:rsidR="00DD305B">
        <w:t>Committee</w:t>
      </w:r>
      <w:r w:rsidR="004100FB">
        <w:t>s</w:t>
      </w:r>
      <w:r w:rsidR="004100FB" w:rsidRPr="00D16091">
        <w:t xml:space="preserve"> of one or more </w:t>
      </w:r>
      <w:r w:rsidR="00DD305B">
        <w:t>Director</w:t>
      </w:r>
      <w:r w:rsidR="004100FB" w:rsidRPr="00D16091">
        <w:t xml:space="preserve">s.  </w:t>
      </w:r>
    </w:p>
    <w:p w14:paraId="669CF563" w14:textId="21DC7EEA" w:rsidR="004100FB" w:rsidRPr="00CD6065" w:rsidRDefault="00B0321B" w:rsidP="004100FB">
      <w:pPr>
        <w:pStyle w:val="NormalText"/>
      </w:pPr>
      <w:r>
        <w:t xml:space="preserve">The Board </w:t>
      </w:r>
      <w:r w:rsidR="004100FB" w:rsidRPr="00CD6065">
        <w:t xml:space="preserve">is responsible for, and has the authority to determine, all matters relating to the policies, practices, </w:t>
      </w:r>
      <w:proofErr w:type="gramStart"/>
      <w:r w:rsidR="004100FB" w:rsidRPr="00CD6065">
        <w:t>management</w:t>
      </w:r>
      <w:proofErr w:type="gramEnd"/>
      <w:r w:rsidR="004100FB" w:rsidRPr="00CD6065">
        <w:t xml:space="preserve"> and operations of the </w:t>
      </w:r>
      <w:r w:rsidR="00DD305B">
        <w:t>Company</w:t>
      </w:r>
      <w:r w:rsidR="004100FB" w:rsidRPr="00CD6065">
        <w:t xml:space="preserve">. It is required to </w:t>
      </w:r>
      <w:r w:rsidR="005839AC">
        <w:t>everything</w:t>
      </w:r>
      <w:r w:rsidR="004100FB" w:rsidRPr="00CD6065">
        <w:t xml:space="preserve"> necessary to carry out the objectives of the </w:t>
      </w:r>
      <w:r w:rsidR="00DD305B">
        <w:t>Company</w:t>
      </w:r>
      <w:r w:rsidR="004100FB" w:rsidRPr="00CD6065">
        <w:t xml:space="preserve">. In its governance role, the main task of the </w:t>
      </w:r>
      <w:r w:rsidR="00DD305B">
        <w:t>Board</w:t>
      </w:r>
      <w:r w:rsidR="004100FB" w:rsidRPr="00CD6065">
        <w:t xml:space="preserve"> is to </w:t>
      </w:r>
      <w:r w:rsidR="00D40444">
        <w:t xml:space="preserve">set </w:t>
      </w:r>
      <w:r w:rsidR="005839AC">
        <w:t xml:space="preserve">the </w:t>
      </w:r>
      <w:r w:rsidR="00D40444">
        <w:t>strategic direction</w:t>
      </w:r>
      <w:r w:rsidR="004100FB" w:rsidRPr="00CD6065">
        <w:t xml:space="preserve"> of the </w:t>
      </w:r>
      <w:r w:rsidR="00DD305B">
        <w:t>Company</w:t>
      </w:r>
      <w:r w:rsidR="006B4225">
        <w:t xml:space="preserve"> and drive </w:t>
      </w:r>
      <w:r w:rsidR="0016265B">
        <w:t>the performance of the</w:t>
      </w:r>
      <w:r w:rsidR="005839AC">
        <w:t xml:space="preserve"> Chief Executive Officer</w:t>
      </w:r>
      <w:r w:rsidR="0016265B">
        <w:t xml:space="preserve"> </w:t>
      </w:r>
      <w:r w:rsidR="005839AC">
        <w:t>(</w:t>
      </w:r>
      <w:r w:rsidR="0016265B">
        <w:t>CEO</w:t>
      </w:r>
      <w:r w:rsidR="005839AC">
        <w:t>)</w:t>
      </w:r>
      <w:r w:rsidR="0016265B">
        <w:t xml:space="preserve"> and senior m</w:t>
      </w:r>
      <w:r w:rsidR="006B4225">
        <w:t>anagement</w:t>
      </w:r>
      <w:r w:rsidR="0016265B">
        <w:t>.</w:t>
      </w:r>
      <w:r w:rsidR="004100FB" w:rsidRPr="00CD6065">
        <w:t xml:space="preserve"> The </w:t>
      </w:r>
      <w:r w:rsidR="00DD305B">
        <w:t>Board</w:t>
      </w:r>
      <w:r w:rsidR="004100FB" w:rsidRPr="00CD6065">
        <w:t xml:space="preserve"> must also ensure that the </w:t>
      </w:r>
      <w:r w:rsidR="00DD305B">
        <w:t>Company</w:t>
      </w:r>
      <w:r w:rsidR="004100FB" w:rsidRPr="00CD6065">
        <w:t xml:space="preserve"> complies with </w:t>
      </w:r>
      <w:proofErr w:type="gramStart"/>
      <w:r w:rsidR="004100FB" w:rsidRPr="00CD6065">
        <w:t>all of</w:t>
      </w:r>
      <w:proofErr w:type="gramEnd"/>
      <w:r w:rsidR="004100FB" w:rsidRPr="00CD6065">
        <w:t xml:space="preserve"> its contractual, statutory and any other legal obligations, including the requirements of regulatory bod</w:t>
      </w:r>
      <w:r w:rsidR="005839AC">
        <w:t>ies</w:t>
      </w:r>
      <w:r w:rsidR="004100FB">
        <w:t xml:space="preserve"> such as the NSX.</w:t>
      </w:r>
      <w:r w:rsidR="004100FB" w:rsidRPr="00CD6065">
        <w:t xml:space="preserve"> </w:t>
      </w:r>
    </w:p>
    <w:p w14:paraId="2E7EBA9F" w14:textId="22FD94AD" w:rsidR="00F33C4D" w:rsidRDefault="004100FB" w:rsidP="00F33C4D">
      <w:pPr>
        <w:pStyle w:val="Heading2"/>
      </w:pPr>
      <w:bookmarkStart w:id="4" w:name="_Toc126325725"/>
      <w:r>
        <w:t>2.2</w:t>
      </w:r>
      <w:r w:rsidR="00F33C4D">
        <w:t xml:space="preserve"> The </w:t>
      </w:r>
      <w:r w:rsidR="00DD305B">
        <w:t>Board</w:t>
      </w:r>
      <w:r w:rsidR="00F33C4D">
        <w:t xml:space="preserve"> and </w:t>
      </w:r>
      <w:r w:rsidR="00E107D9">
        <w:t>management</w:t>
      </w:r>
      <w:bookmarkEnd w:id="4"/>
    </w:p>
    <w:p w14:paraId="4ECA2F91" w14:textId="3B6C74BE" w:rsidR="00F33C4D" w:rsidRDefault="00F33C4D" w:rsidP="00F33C4D">
      <w:pPr>
        <w:pStyle w:val="NormalText"/>
      </w:pPr>
      <w:r w:rsidRPr="00CD6065">
        <w:t xml:space="preserve">The </w:t>
      </w:r>
      <w:r w:rsidR="00DD305B">
        <w:t>Board</w:t>
      </w:r>
      <w:r w:rsidRPr="00CD6065">
        <w:t xml:space="preserve">’s role is to govern </w:t>
      </w:r>
      <w:r w:rsidR="0016265B">
        <w:t>STL</w:t>
      </w:r>
      <w:r>
        <w:t xml:space="preserve"> </w:t>
      </w:r>
      <w:r w:rsidRPr="00CD6065">
        <w:t xml:space="preserve">rather than to manage it. In governing the </w:t>
      </w:r>
      <w:r w:rsidR="00DD305B">
        <w:t>Company</w:t>
      </w:r>
      <w:r w:rsidRPr="00CD6065">
        <w:t xml:space="preserve">, the </w:t>
      </w:r>
      <w:r w:rsidR="00DD305B">
        <w:t>Director</w:t>
      </w:r>
      <w:r w:rsidRPr="00CD6065">
        <w:t xml:space="preserve">s act in the best interests of </w:t>
      </w:r>
      <w:proofErr w:type="gramStart"/>
      <w:r w:rsidR="0016265B">
        <w:t>STL</w:t>
      </w:r>
      <w:r w:rsidRPr="00CD6065">
        <w:t xml:space="preserve"> as a whole</w:t>
      </w:r>
      <w:proofErr w:type="gramEnd"/>
      <w:r w:rsidRPr="00CD6065">
        <w:t xml:space="preserve">. It is the role of senior management to manage the </w:t>
      </w:r>
      <w:r w:rsidR="00DD305B">
        <w:t>Company</w:t>
      </w:r>
      <w:r w:rsidRPr="00CD6065">
        <w:t xml:space="preserve"> in accordance with the direction and delegations of the </w:t>
      </w:r>
      <w:r w:rsidR="00DD305B">
        <w:t>Board</w:t>
      </w:r>
      <w:r w:rsidRPr="00CD6065">
        <w:t xml:space="preserve"> and it is the responsibility of the </w:t>
      </w:r>
      <w:r w:rsidR="00DD305B">
        <w:t>Board</w:t>
      </w:r>
      <w:r w:rsidRPr="00CD6065">
        <w:t xml:space="preserve"> to oversee the activities of </w:t>
      </w:r>
      <w:r>
        <w:t>m</w:t>
      </w:r>
      <w:r w:rsidRPr="00CD6065">
        <w:t>anagement in carrying out these delegated duties.</w:t>
      </w:r>
      <w:r w:rsidR="00940DC8" w:rsidRPr="00B66815">
        <w:t xml:space="preserve"> </w:t>
      </w:r>
    </w:p>
    <w:p w14:paraId="4AC772E4" w14:textId="7B100C94" w:rsidR="00D44FFC" w:rsidRDefault="00D44FFC">
      <w:pPr>
        <w:rPr>
          <w:rFonts w:asciiTheme="minorHAnsi" w:hAnsiTheme="minorHAnsi" w:cs="Tahoma"/>
          <w:spacing w:val="4"/>
          <w:szCs w:val="22"/>
          <w:lang w:val="en-GB"/>
        </w:rPr>
      </w:pPr>
      <w:r>
        <w:br w:type="page"/>
      </w:r>
    </w:p>
    <w:p w14:paraId="3D8FA44B" w14:textId="5DB7D023" w:rsidR="00F33C4D" w:rsidRPr="00CD6065" w:rsidRDefault="005839AC" w:rsidP="00F33C4D">
      <w:pPr>
        <w:pStyle w:val="NormalText"/>
      </w:pPr>
      <w:r>
        <w:lastRenderedPageBreak/>
        <w:t>The</w:t>
      </w:r>
      <w:r w:rsidR="00F33C4D">
        <w:t xml:space="preserve"> </w:t>
      </w:r>
      <w:r w:rsidR="00F33C4D" w:rsidRPr="00CD6065">
        <w:t xml:space="preserve">principal functions and responsibilities </w:t>
      </w:r>
      <w:r>
        <w:t xml:space="preserve">of the Board </w:t>
      </w:r>
      <w:r w:rsidR="00F33C4D" w:rsidRPr="00CD6065">
        <w:t xml:space="preserve">include: </w:t>
      </w:r>
    </w:p>
    <w:p w14:paraId="4A9EAA30" w14:textId="77777777" w:rsidR="00F33C4D" w:rsidRPr="00651985" w:rsidRDefault="00F33C4D" w:rsidP="00F33C4D">
      <w:pPr>
        <w:pStyle w:val="Bullet1"/>
        <w:rPr>
          <w:b/>
        </w:rPr>
      </w:pPr>
      <w:r w:rsidRPr="00651985">
        <w:rPr>
          <w:b/>
        </w:rPr>
        <w:t xml:space="preserve">Providing leadership to the </w:t>
      </w:r>
      <w:r w:rsidR="00DD305B" w:rsidRPr="00651985">
        <w:rPr>
          <w:b/>
        </w:rPr>
        <w:t>Company</w:t>
      </w:r>
      <w:r w:rsidRPr="00651985">
        <w:rPr>
          <w:b/>
        </w:rPr>
        <w:t xml:space="preserve"> by:</w:t>
      </w:r>
    </w:p>
    <w:p w14:paraId="43F3BE37" w14:textId="77777777" w:rsidR="00F33C4D" w:rsidRPr="00CD6065" w:rsidRDefault="00F33C4D" w:rsidP="00F33C4D">
      <w:pPr>
        <w:pStyle w:val="Bullet2"/>
      </w:pPr>
      <w:r w:rsidRPr="00CD6065">
        <w:t xml:space="preserve">Guiding the development of an appropriate culture and values for the </w:t>
      </w:r>
      <w:r w:rsidR="00DD305B">
        <w:t>Company</w:t>
      </w:r>
      <w:r w:rsidRPr="00CD6065">
        <w:t xml:space="preserve"> through the establishment and review of </w:t>
      </w:r>
      <w:r>
        <w:t xml:space="preserve">the </w:t>
      </w:r>
      <w:r w:rsidRPr="00CD6065">
        <w:t xml:space="preserve">code of conduct, policies, rules and procedures to enforce ethical </w:t>
      </w:r>
      <w:proofErr w:type="spellStart"/>
      <w:r w:rsidRPr="00CD6065">
        <w:t>behaviour</w:t>
      </w:r>
      <w:proofErr w:type="spellEnd"/>
      <w:r w:rsidRPr="00CD6065">
        <w:t xml:space="preserve"> and provide guidance on appropriate work </w:t>
      </w:r>
      <w:proofErr w:type="gramStart"/>
      <w:r w:rsidRPr="00CD6065">
        <w:t>methods;</w:t>
      </w:r>
      <w:proofErr w:type="gramEnd"/>
    </w:p>
    <w:p w14:paraId="78D52875" w14:textId="77777777" w:rsidR="00F33C4D" w:rsidRDefault="00F33C4D" w:rsidP="00F33C4D">
      <w:pPr>
        <w:pStyle w:val="Bullet2"/>
        <w:ind w:left="1790" w:hanging="360"/>
      </w:pPr>
      <w:r w:rsidRPr="00CD6065">
        <w:t xml:space="preserve">Always acting in a manner consistent with the </w:t>
      </w:r>
      <w:r w:rsidR="00DD305B">
        <w:t>Company</w:t>
      </w:r>
      <w:r w:rsidRPr="00CD6065">
        <w:t xml:space="preserve">’s culture and code of </w:t>
      </w:r>
      <w:proofErr w:type="gramStart"/>
      <w:r w:rsidRPr="00CD6065">
        <w:t>conduct;</w:t>
      </w:r>
      <w:proofErr w:type="gramEnd"/>
    </w:p>
    <w:p w14:paraId="247E0099" w14:textId="77777777" w:rsidR="00F33C4D" w:rsidRPr="00651985" w:rsidRDefault="00F33C4D" w:rsidP="00F33C4D">
      <w:pPr>
        <w:pStyle w:val="Bullet1"/>
        <w:rPr>
          <w:b/>
        </w:rPr>
      </w:pPr>
      <w:r w:rsidRPr="00651985">
        <w:rPr>
          <w:b/>
        </w:rPr>
        <w:t xml:space="preserve">Overseeing the </w:t>
      </w:r>
      <w:r w:rsidR="00E17F3F" w:rsidRPr="00651985">
        <w:rPr>
          <w:b/>
        </w:rPr>
        <w:t>d</w:t>
      </w:r>
      <w:r w:rsidRPr="00651985">
        <w:rPr>
          <w:b/>
        </w:rPr>
        <w:t>evelopment and implementation of an appropriate strategy by:</w:t>
      </w:r>
    </w:p>
    <w:p w14:paraId="10E9BD3C" w14:textId="77777777" w:rsidR="00F33C4D" w:rsidRPr="00CD6065" w:rsidRDefault="00F33C4D" w:rsidP="00F33C4D">
      <w:pPr>
        <w:pStyle w:val="Bullet2"/>
      </w:pPr>
      <w:r w:rsidRPr="00CD6065">
        <w:t xml:space="preserve">Annually approving the overall process of strategic </w:t>
      </w:r>
      <w:proofErr w:type="gramStart"/>
      <w:r w:rsidRPr="00CD6065">
        <w:t>planning;</w:t>
      </w:r>
      <w:proofErr w:type="gramEnd"/>
    </w:p>
    <w:p w14:paraId="720D5D7E" w14:textId="77777777" w:rsidR="00F33C4D" w:rsidRPr="00CD6065" w:rsidRDefault="00F33C4D" w:rsidP="00F33C4D">
      <w:pPr>
        <w:pStyle w:val="Bullet2"/>
      </w:pPr>
      <w:r w:rsidRPr="00CD6065">
        <w:t xml:space="preserve">Approving the structure of plans used by the </w:t>
      </w:r>
      <w:proofErr w:type="spellStart"/>
      <w:proofErr w:type="gramStart"/>
      <w:r w:rsidRPr="00CD6065">
        <w:t>organisation</w:t>
      </w:r>
      <w:proofErr w:type="spellEnd"/>
      <w:r w:rsidRPr="00CD6065">
        <w:t>;</w:t>
      </w:r>
      <w:proofErr w:type="gramEnd"/>
    </w:p>
    <w:p w14:paraId="05C89B8B" w14:textId="77777777" w:rsidR="00F33C4D" w:rsidRPr="00CD6065" w:rsidRDefault="00F33C4D" w:rsidP="00F33C4D">
      <w:pPr>
        <w:pStyle w:val="Bullet2"/>
      </w:pPr>
      <w:r w:rsidRPr="00CD6065">
        <w:t xml:space="preserve">Working with </w:t>
      </w:r>
      <w:r w:rsidR="00610A18">
        <w:t>s</w:t>
      </w:r>
      <w:r w:rsidRPr="00CD6065">
        <w:t xml:space="preserve">enior management to ensure that an appropriate strategic direction and goals are in </w:t>
      </w:r>
      <w:proofErr w:type="gramStart"/>
      <w:r w:rsidRPr="00CD6065">
        <w:t>place;</w:t>
      </w:r>
      <w:proofErr w:type="gramEnd"/>
    </w:p>
    <w:p w14:paraId="7C03E534" w14:textId="77777777" w:rsidR="00F33C4D" w:rsidRPr="00CD6065" w:rsidRDefault="00F33C4D" w:rsidP="00F33C4D">
      <w:pPr>
        <w:pStyle w:val="Bullet2"/>
      </w:pPr>
      <w:r w:rsidRPr="00CD6065">
        <w:t xml:space="preserve">Regularly reviewing and updating the </w:t>
      </w:r>
      <w:r w:rsidR="00DD305B">
        <w:t>Company</w:t>
      </w:r>
      <w:r w:rsidRPr="00CD6065">
        <w:t xml:space="preserve">’s strategic direction and </w:t>
      </w:r>
      <w:proofErr w:type="gramStart"/>
      <w:r w:rsidRPr="00CD6065">
        <w:t>goals;</w:t>
      </w:r>
      <w:proofErr w:type="gramEnd"/>
      <w:r w:rsidRPr="00CD6065">
        <w:t xml:space="preserve"> </w:t>
      </w:r>
    </w:p>
    <w:p w14:paraId="3C7D078F" w14:textId="77777777" w:rsidR="00F33C4D" w:rsidRPr="00CD6065" w:rsidRDefault="00F33C4D" w:rsidP="00F33C4D">
      <w:pPr>
        <w:pStyle w:val="Bullet2"/>
      </w:pPr>
      <w:r w:rsidRPr="00CD6065">
        <w:t xml:space="preserve">Ensuring that an appropriate set of strategic internal controls are implemented and reviewed </w:t>
      </w:r>
      <w:proofErr w:type="gramStart"/>
      <w:r w:rsidRPr="00CD6065">
        <w:t>regularly;</w:t>
      </w:r>
      <w:proofErr w:type="gramEnd"/>
    </w:p>
    <w:p w14:paraId="2397C29B" w14:textId="77777777" w:rsidR="00F33C4D" w:rsidRPr="00CD6065" w:rsidRDefault="00F33C4D" w:rsidP="00F33C4D">
      <w:pPr>
        <w:pStyle w:val="Bullet2"/>
      </w:pPr>
      <w:r w:rsidRPr="00CD6065">
        <w:t xml:space="preserve">Overseeing planning activities including the development and approval of strategic plans, annual plans, annual corporate budgets and long-term budgets including operating budgets, capital expenditure budgets and cash flow </w:t>
      </w:r>
      <w:proofErr w:type="gramStart"/>
      <w:r w:rsidRPr="00CD6065">
        <w:t>budgets;</w:t>
      </w:r>
      <w:proofErr w:type="gramEnd"/>
      <w:r w:rsidRPr="00CD6065">
        <w:t xml:space="preserve"> </w:t>
      </w:r>
    </w:p>
    <w:p w14:paraId="10117CFE" w14:textId="77777777" w:rsidR="00F33C4D" w:rsidRPr="00CD6065" w:rsidRDefault="00F33C4D" w:rsidP="00F33C4D">
      <w:pPr>
        <w:pStyle w:val="Bullet2"/>
      </w:pPr>
      <w:r w:rsidRPr="00CD6065">
        <w:t xml:space="preserve">Reviewing the progress and performance of the </w:t>
      </w:r>
      <w:r w:rsidR="00DD305B">
        <w:t>Company</w:t>
      </w:r>
      <w:r w:rsidRPr="00CD6065">
        <w:t xml:space="preserve"> in meeting these plans and corporate objectives, including reporting the outcome of such reviews on at least an annual basis;</w:t>
      </w:r>
    </w:p>
    <w:p w14:paraId="09F4D719" w14:textId="78FB9FCA" w:rsidR="00F33C4D" w:rsidRPr="00F33C4D" w:rsidRDefault="00F33C4D" w:rsidP="00F33C4D">
      <w:pPr>
        <w:pStyle w:val="Bullet1"/>
      </w:pPr>
      <w:r w:rsidRPr="00651985">
        <w:rPr>
          <w:b/>
        </w:rPr>
        <w:t>Ensuring cor</w:t>
      </w:r>
      <w:r w:rsidR="00610A18" w:rsidRPr="00651985">
        <w:rPr>
          <w:b/>
        </w:rPr>
        <w:t>porate accountability to shareholders</w:t>
      </w:r>
      <w:r w:rsidRPr="00F33C4D">
        <w:t xml:space="preserve"> primarily through adopting an effective stakeholder communications policy, encouraging effective participation at general meetings and, through the </w:t>
      </w:r>
      <w:r w:rsidR="00E30596">
        <w:t>Chair</w:t>
      </w:r>
      <w:r w:rsidRPr="00F33C4D">
        <w:t xml:space="preserve">, being the key interface between the </w:t>
      </w:r>
      <w:r w:rsidR="00DD305B">
        <w:t>Company</w:t>
      </w:r>
      <w:r w:rsidR="00610A18">
        <w:t xml:space="preserve"> and its shareholders</w:t>
      </w:r>
      <w:r w:rsidRPr="00F33C4D">
        <w:t xml:space="preserve">; </w:t>
      </w:r>
    </w:p>
    <w:p w14:paraId="10EC7DC0" w14:textId="6FB8BD88" w:rsidR="00F33C4D" w:rsidRPr="00F33C4D" w:rsidRDefault="00F33C4D" w:rsidP="00F33C4D">
      <w:pPr>
        <w:pStyle w:val="Bullet1"/>
      </w:pPr>
      <w:r w:rsidRPr="00651985">
        <w:rPr>
          <w:b/>
        </w:rPr>
        <w:t>Overseeing control and accountability systems</w:t>
      </w:r>
      <w:r w:rsidRPr="00F33C4D">
        <w:t xml:space="preserve"> that ensure the </w:t>
      </w:r>
      <w:r w:rsidR="00DD305B">
        <w:t>Company</w:t>
      </w:r>
      <w:r w:rsidRPr="00F33C4D">
        <w:t xml:space="preserve"> is progressing towards the goals set by the </w:t>
      </w:r>
      <w:r w:rsidR="00DD305B">
        <w:t>Board</w:t>
      </w:r>
      <w:r w:rsidRPr="00F33C4D">
        <w:t xml:space="preserve"> and in line with the </w:t>
      </w:r>
      <w:r w:rsidR="00DD305B">
        <w:t>Company</w:t>
      </w:r>
      <w:r w:rsidRPr="00F33C4D">
        <w:t xml:space="preserve">’s purpose, the agreed corporate strategy, legislative requirements and community expectations; </w:t>
      </w:r>
    </w:p>
    <w:p w14:paraId="5BA0F3E8" w14:textId="7B31FE26" w:rsidR="00F33C4D" w:rsidRDefault="00F33C4D" w:rsidP="00F33C4D">
      <w:pPr>
        <w:pStyle w:val="Bullet1"/>
      </w:pPr>
      <w:r w:rsidRPr="00651985">
        <w:rPr>
          <w:b/>
        </w:rPr>
        <w:t>Ensuring robust and effective risk management</w:t>
      </w:r>
      <w:r w:rsidRPr="00F33C4D">
        <w:t xml:space="preserve">, compliance and control systems (including legal compliance) are in place and operating effectively; </w:t>
      </w:r>
    </w:p>
    <w:p w14:paraId="47EFE520" w14:textId="079E10D6" w:rsidR="00A817F5" w:rsidRDefault="00A817F5">
      <w:pPr>
        <w:rPr>
          <w:rFonts w:cs="Tahoma"/>
          <w:b/>
          <w:spacing w:val="4"/>
          <w:szCs w:val="22"/>
          <w:lang w:val="en-GB"/>
        </w:rPr>
      </w:pPr>
      <w:r>
        <w:rPr>
          <w:b/>
        </w:rPr>
        <w:br w:type="page"/>
      </w:r>
    </w:p>
    <w:p w14:paraId="55F88B8D" w14:textId="77777777" w:rsidR="00A817F5" w:rsidRPr="00F33C4D" w:rsidRDefault="00A817F5" w:rsidP="00A817F5">
      <w:pPr>
        <w:pStyle w:val="Bullet1"/>
        <w:numPr>
          <w:ilvl w:val="0"/>
          <w:numId w:val="0"/>
        </w:numPr>
        <w:ind w:left="714"/>
      </w:pPr>
    </w:p>
    <w:p w14:paraId="48B9FE39" w14:textId="77777777" w:rsidR="00F33C4D" w:rsidRDefault="00F33C4D" w:rsidP="00F33C4D">
      <w:pPr>
        <w:pStyle w:val="Bullet1"/>
      </w:pPr>
      <w:r w:rsidRPr="00651985">
        <w:rPr>
          <w:b/>
        </w:rPr>
        <w:t xml:space="preserve">Being responsible for the </w:t>
      </w:r>
      <w:r w:rsidR="00DD305B" w:rsidRPr="00651985">
        <w:rPr>
          <w:b/>
        </w:rPr>
        <w:t>Company</w:t>
      </w:r>
      <w:r w:rsidRPr="00651985">
        <w:rPr>
          <w:b/>
        </w:rPr>
        <w:t>’s senior management and personnel</w:t>
      </w:r>
      <w:r w:rsidRPr="00F33C4D">
        <w:t xml:space="preserve"> including:</w:t>
      </w:r>
    </w:p>
    <w:p w14:paraId="0936E697" w14:textId="671F6FBA" w:rsidR="00F33C4D" w:rsidRDefault="00F33C4D" w:rsidP="00F33C4D">
      <w:pPr>
        <w:pStyle w:val="Bullet2"/>
      </w:pPr>
      <w:r w:rsidRPr="00CD6065">
        <w:t xml:space="preserve">Directly managing the </w:t>
      </w:r>
      <w:r w:rsidR="002D77F7">
        <w:t>CEO</w:t>
      </w:r>
      <w:r>
        <w:t xml:space="preserve"> </w:t>
      </w:r>
      <w:r w:rsidRPr="00CD6065">
        <w:t xml:space="preserve">including: </w:t>
      </w:r>
    </w:p>
    <w:p w14:paraId="1A38E123" w14:textId="77777777" w:rsidR="00F33C4D" w:rsidRPr="00F33C4D" w:rsidRDefault="00F33C4D" w:rsidP="00F33C4D">
      <w:pPr>
        <w:pStyle w:val="Bullet3"/>
      </w:pPr>
      <w:r w:rsidRPr="00F33C4D">
        <w:t xml:space="preserve">appointing the </w:t>
      </w:r>
      <w:proofErr w:type="gramStart"/>
      <w:r w:rsidR="002D77F7">
        <w:t>CEO</w:t>
      </w:r>
      <w:r w:rsidRPr="00F33C4D">
        <w:t>;</w:t>
      </w:r>
      <w:proofErr w:type="gramEnd"/>
    </w:p>
    <w:p w14:paraId="1321AA9F" w14:textId="77777777" w:rsidR="00F33C4D" w:rsidRPr="00F33C4D" w:rsidRDefault="00F33C4D" w:rsidP="00F33C4D">
      <w:pPr>
        <w:pStyle w:val="Bullet3"/>
      </w:pPr>
      <w:r w:rsidRPr="00F33C4D">
        <w:t xml:space="preserve">annually determining the remuneration of the </w:t>
      </w:r>
      <w:proofErr w:type="gramStart"/>
      <w:r w:rsidR="002D77F7">
        <w:t>CEO</w:t>
      </w:r>
      <w:r w:rsidRPr="00F33C4D">
        <w:t>;</w:t>
      </w:r>
      <w:proofErr w:type="gramEnd"/>
    </w:p>
    <w:p w14:paraId="0D9B645D" w14:textId="77777777" w:rsidR="00F33C4D" w:rsidRPr="00F33C4D" w:rsidRDefault="00F33C4D" w:rsidP="00F33C4D">
      <w:pPr>
        <w:pStyle w:val="Bullet3"/>
      </w:pPr>
      <w:r w:rsidRPr="00F33C4D">
        <w:t xml:space="preserve">providing advice and counsel to the </w:t>
      </w:r>
      <w:r w:rsidR="002D77F7">
        <w:t>CEO</w:t>
      </w:r>
      <w:r w:rsidRPr="00F33C4D">
        <w:t xml:space="preserve"> including formal reviews and feedback on the </w:t>
      </w:r>
      <w:r w:rsidR="002D77F7">
        <w:t>CEO</w:t>
      </w:r>
      <w:r w:rsidRPr="00F33C4D">
        <w:t xml:space="preserve">’s </w:t>
      </w:r>
      <w:proofErr w:type="gramStart"/>
      <w:r w:rsidRPr="00F33C4D">
        <w:t>performance;</w:t>
      </w:r>
      <w:proofErr w:type="gramEnd"/>
    </w:p>
    <w:p w14:paraId="1D660C05" w14:textId="77777777" w:rsidR="00F33C4D" w:rsidRPr="00F33C4D" w:rsidRDefault="00F33C4D" w:rsidP="00F33C4D">
      <w:pPr>
        <w:pStyle w:val="Bullet3"/>
      </w:pPr>
      <w:r w:rsidRPr="00F33C4D">
        <w:t xml:space="preserve">overseeing the development of the </w:t>
      </w:r>
      <w:proofErr w:type="gramStart"/>
      <w:r w:rsidR="002D77F7">
        <w:t>CEO</w:t>
      </w:r>
      <w:r w:rsidRPr="00F33C4D">
        <w:t>;</w:t>
      </w:r>
      <w:proofErr w:type="gramEnd"/>
      <w:r w:rsidRPr="00F33C4D">
        <w:t xml:space="preserve"> </w:t>
      </w:r>
    </w:p>
    <w:p w14:paraId="6EE7D330" w14:textId="77777777" w:rsidR="00F33C4D" w:rsidRDefault="00F33C4D" w:rsidP="00F33C4D">
      <w:pPr>
        <w:pStyle w:val="Bullet3"/>
      </w:pPr>
      <w:r w:rsidRPr="00F33C4D">
        <w:t xml:space="preserve">removing the </w:t>
      </w:r>
      <w:r w:rsidR="002D77F7">
        <w:t>CEO</w:t>
      </w:r>
      <w:r w:rsidRPr="00F33C4D">
        <w:t xml:space="preserve">, where </w:t>
      </w:r>
      <w:proofErr w:type="gramStart"/>
      <w:r w:rsidRPr="00F33C4D">
        <w:t>necessary;</w:t>
      </w:r>
      <w:proofErr w:type="gramEnd"/>
    </w:p>
    <w:p w14:paraId="4E9DBB31" w14:textId="77777777" w:rsidR="00F33C4D" w:rsidRPr="00CD6065" w:rsidRDefault="00F33C4D" w:rsidP="00F33C4D">
      <w:pPr>
        <w:pStyle w:val="Bullet2"/>
      </w:pPr>
      <w:r w:rsidRPr="00CD6065">
        <w:t xml:space="preserve">Ratifying the appointment, the terms and conditions of the appointment and, where appropriate, the removal of the </w:t>
      </w:r>
      <w:r w:rsidR="00DD305B">
        <w:t>Company</w:t>
      </w:r>
      <w:r w:rsidRPr="00CD6065">
        <w:t xml:space="preserve"> </w:t>
      </w:r>
      <w:r w:rsidR="00CA6E00">
        <w:t>Secretary</w:t>
      </w:r>
      <w:r w:rsidRPr="00CD6065">
        <w:t xml:space="preserve"> and other senior managers, as determined by the </w:t>
      </w:r>
      <w:proofErr w:type="gramStart"/>
      <w:r w:rsidR="00DD305B">
        <w:t>Board</w:t>
      </w:r>
      <w:r w:rsidRPr="00CD6065">
        <w:t>;</w:t>
      </w:r>
      <w:proofErr w:type="gramEnd"/>
    </w:p>
    <w:p w14:paraId="1423303A" w14:textId="038B97F9" w:rsidR="00F33C4D" w:rsidRPr="00CD6065" w:rsidRDefault="005839AC" w:rsidP="00F33C4D">
      <w:pPr>
        <w:pStyle w:val="Bullet2"/>
      </w:pPr>
      <w:r w:rsidRPr="00CD6065">
        <w:t>Overs</w:t>
      </w:r>
      <w:r>
        <w:t>eeing</w:t>
      </w:r>
      <w:r w:rsidRPr="00CD6065">
        <w:t xml:space="preserve"> </w:t>
      </w:r>
      <w:r w:rsidR="00F33C4D" w:rsidRPr="00CD6065">
        <w:t>annual performance reviews</w:t>
      </w:r>
      <w:r w:rsidR="00C44224">
        <w:t xml:space="preserve"> for senior </w:t>
      </w:r>
      <w:proofErr w:type="gramStart"/>
      <w:r w:rsidR="00C44224">
        <w:t>management</w:t>
      </w:r>
      <w:r w:rsidR="00F33C4D" w:rsidRPr="00CD6065">
        <w:t>;</w:t>
      </w:r>
      <w:proofErr w:type="gramEnd"/>
    </w:p>
    <w:p w14:paraId="24FDEA5A" w14:textId="77777777" w:rsidR="00F33C4D" w:rsidRPr="00CD6065" w:rsidRDefault="00F33C4D" w:rsidP="00F33C4D">
      <w:pPr>
        <w:pStyle w:val="Bullet2"/>
      </w:pPr>
      <w:r w:rsidRPr="00CD6065">
        <w:t xml:space="preserve">Ensuring that an appropriate succession plan for the </w:t>
      </w:r>
      <w:r w:rsidR="002D77F7">
        <w:t>CEO</w:t>
      </w:r>
      <w:r w:rsidRPr="00CD6065">
        <w:t xml:space="preserve">, </w:t>
      </w:r>
      <w:r w:rsidR="00DD305B">
        <w:t>Company</w:t>
      </w:r>
      <w:r w:rsidRPr="00CD6065">
        <w:t xml:space="preserve"> </w:t>
      </w:r>
      <w:r w:rsidR="00CA6E00">
        <w:t>Secretary</w:t>
      </w:r>
      <w:r w:rsidRPr="00CD6065">
        <w:t xml:space="preserve"> and other senior managers, as determined by the </w:t>
      </w:r>
      <w:r w:rsidR="00DD305B">
        <w:t>Board</w:t>
      </w:r>
      <w:r w:rsidRPr="00CD6065">
        <w:t xml:space="preserve">, is in </w:t>
      </w:r>
      <w:proofErr w:type="gramStart"/>
      <w:r w:rsidRPr="00CD6065">
        <w:t>place;</w:t>
      </w:r>
      <w:proofErr w:type="gramEnd"/>
    </w:p>
    <w:p w14:paraId="3C144AE6" w14:textId="77777777" w:rsidR="00F33C4D" w:rsidRPr="00CD6065" w:rsidRDefault="00F33C4D" w:rsidP="00F33C4D">
      <w:pPr>
        <w:pStyle w:val="Bullet2"/>
      </w:pPr>
      <w:r w:rsidRPr="00CD6065">
        <w:t>Ensuring appropriate human resource systems (including W</w:t>
      </w:r>
      <w:r w:rsidR="005839AC">
        <w:t xml:space="preserve">orkplace </w:t>
      </w:r>
      <w:r w:rsidRPr="00CD6065">
        <w:t>H</w:t>
      </w:r>
      <w:r w:rsidR="005839AC">
        <w:t xml:space="preserve">ealth and </w:t>
      </w:r>
      <w:r w:rsidRPr="00CD6065">
        <w:t>S</w:t>
      </w:r>
      <w:r w:rsidR="005839AC">
        <w:t>afety</w:t>
      </w:r>
      <w:r w:rsidRPr="00CD6065">
        <w:t xml:space="preserve"> systems) are in place to ensure the well-being and effective contribution of all </w:t>
      </w:r>
      <w:proofErr w:type="gramStart"/>
      <w:r w:rsidRPr="00CD6065">
        <w:t>employees;</w:t>
      </w:r>
      <w:proofErr w:type="gramEnd"/>
    </w:p>
    <w:p w14:paraId="718A28FA" w14:textId="77777777" w:rsidR="00F33C4D" w:rsidRDefault="00F33C4D" w:rsidP="00F33C4D">
      <w:pPr>
        <w:pStyle w:val="Bullet2"/>
      </w:pPr>
      <w:r w:rsidRPr="00CD6065">
        <w:t xml:space="preserve">Promoting diversity within all levels of the </w:t>
      </w:r>
      <w:r w:rsidR="00DD305B">
        <w:t>Company</w:t>
      </w:r>
      <w:r w:rsidRPr="00CD6065">
        <w:t xml:space="preserve"> including:</w:t>
      </w:r>
    </w:p>
    <w:p w14:paraId="5C52ED57" w14:textId="1C2F52A1" w:rsidR="00F33C4D" w:rsidRPr="00CD6065" w:rsidRDefault="00F33C4D" w:rsidP="00F33C4D">
      <w:pPr>
        <w:pStyle w:val="Bullet3"/>
      </w:pPr>
      <w:r w:rsidRPr="00CD6065">
        <w:t xml:space="preserve">Approving the </w:t>
      </w:r>
      <w:r w:rsidR="00DD305B">
        <w:t>Company</w:t>
      </w:r>
      <w:r w:rsidRPr="00CD6065">
        <w:t>’s polic</w:t>
      </w:r>
      <w:r w:rsidR="00A817F5">
        <w:t>i</w:t>
      </w:r>
      <w:r w:rsidR="00C262B2">
        <w:t>e</w:t>
      </w:r>
      <w:r w:rsidR="00A817F5">
        <w:t xml:space="preserve">s in relation to diversity </w:t>
      </w:r>
      <w:r w:rsidRPr="00CD6065">
        <w:t xml:space="preserve">at all levels of the </w:t>
      </w:r>
      <w:r w:rsidR="00DD305B">
        <w:t>Company</w:t>
      </w:r>
      <w:r w:rsidRPr="00CD6065">
        <w:t xml:space="preserve"> including the </w:t>
      </w:r>
      <w:proofErr w:type="gramStart"/>
      <w:r w:rsidR="00DD305B">
        <w:t>Board</w:t>
      </w:r>
      <w:r w:rsidRPr="00CD6065">
        <w:t>;</w:t>
      </w:r>
      <w:proofErr w:type="gramEnd"/>
    </w:p>
    <w:p w14:paraId="7467F972" w14:textId="77777777" w:rsidR="00F33C4D" w:rsidRPr="00CD6065" w:rsidRDefault="00F33C4D" w:rsidP="00F33C4D">
      <w:pPr>
        <w:pStyle w:val="Bullet3"/>
      </w:pPr>
      <w:r w:rsidRPr="00CD6065">
        <w:t xml:space="preserve">Establishing measurable objectives for achieving diversity at all levels of the </w:t>
      </w:r>
      <w:r w:rsidR="00DD305B">
        <w:t>Company</w:t>
      </w:r>
      <w:r w:rsidRPr="00CD6065">
        <w:t xml:space="preserve"> including the </w:t>
      </w:r>
      <w:proofErr w:type="gramStart"/>
      <w:r w:rsidR="00DD305B">
        <w:t>Board</w:t>
      </w:r>
      <w:r w:rsidRPr="00CD6065">
        <w:t>;</w:t>
      </w:r>
      <w:proofErr w:type="gramEnd"/>
    </w:p>
    <w:p w14:paraId="53D97842" w14:textId="7B1EC857" w:rsidR="00F33C4D" w:rsidRPr="00CD6065" w:rsidRDefault="00F33C4D" w:rsidP="00F33C4D">
      <w:pPr>
        <w:pStyle w:val="Bullet3"/>
      </w:pPr>
      <w:r w:rsidRPr="00CD6065">
        <w:t>A</w:t>
      </w:r>
      <w:r w:rsidR="00532798">
        <w:t>nnually a</w:t>
      </w:r>
      <w:r w:rsidRPr="00CD6065">
        <w:t xml:space="preserve">ssessing the measurable objectives set by the </w:t>
      </w:r>
      <w:r w:rsidR="00DD305B">
        <w:t>Board</w:t>
      </w:r>
      <w:r w:rsidRPr="00CD6065">
        <w:t xml:space="preserve"> in relation to diversity at all levels of the </w:t>
      </w:r>
      <w:r w:rsidR="00DD305B">
        <w:t>Company</w:t>
      </w:r>
      <w:r w:rsidRPr="00CD6065">
        <w:t xml:space="preserve"> including the </w:t>
      </w:r>
      <w:r w:rsidR="00DD305B">
        <w:t>Board</w:t>
      </w:r>
      <w:r w:rsidRPr="00CD6065">
        <w:t xml:space="preserve"> and the progress in achieving them, including a review of the relative proportion of women and men in the workforce at all levels of the </w:t>
      </w:r>
      <w:r w:rsidR="00DD305B">
        <w:t>Company</w:t>
      </w:r>
      <w:r w:rsidRPr="00CD6065">
        <w:t>;</w:t>
      </w:r>
      <w:r w:rsidR="003F5BD5">
        <w:t xml:space="preserve"> </w:t>
      </w:r>
    </w:p>
    <w:p w14:paraId="3F7D7175" w14:textId="6340D4E7" w:rsidR="00F33C4D" w:rsidRPr="00F33C4D" w:rsidRDefault="00F33C4D" w:rsidP="00A817F5">
      <w:pPr>
        <w:pStyle w:val="Bullet1"/>
      </w:pPr>
      <w:r w:rsidRPr="00651985">
        <w:rPr>
          <w:b/>
        </w:rPr>
        <w:t xml:space="preserve">Delegating appropriate powers to the </w:t>
      </w:r>
      <w:r w:rsidR="002D77F7" w:rsidRPr="00651985">
        <w:rPr>
          <w:b/>
        </w:rPr>
        <w:t>CEO</w:t>
      </w:r>
      <w:r w:rsidRPr="00651985">
        <w:rPr>
          <w:b/>
        </w:rPr>
        <w:t xml:space="preserve">, </w:t>
      </w:r>
      <w:proofErr w:type="gramStart"/>
      <w:r w:rsidRPr="00651985">
        <w:rPr>
          <w:b/>
        </w:rPr>
        <w:t>management</w:t>
      </w:r>
      <w:proofErr w:type="gramEnd"/>
      <w:r w:rsidRPr="00651985">
        <w:rPr>
          <w:b/>
        </w:rPr>
        <w:t xml:space="preserve"> and </w:t>
      </w:r>
      <w:r w:rsidR="00DD305B" w:rsidRPr="00651985">
        <w:rPr>
          <w:b/>
        </w:rPr>
        <w:t>Committee</w:t>
      </w:r>
      <w:r w:rsidRPr="00651985">
        <w:rPr>
          <w:b/>
        </w:rPr>
        <w:t>s</w:t>
      </w:r>
      <w:r w:rsidRPr="00F33C4D">
        <w:t xml:space="preserve"> to ensure the effective day-to-day management of the business and monitoring the exercise of these powers</w:t>
      </w:r>
      <w:r w:rsidR="00A817F5">
        <w:t>.</w:t>
      </w:r>
    </w:p>
    <w:p w14:paraId="4A7672CA" w14:textId="77777777" w:rsidR="00F33C4D" w:rsidRDefault="00F33C4D" w:rsidP="00F33C4D">
      <w:pPr>
        <w:pStyle w:val="Heading2"/>
      </w:pPr>
      <w:bookmarkStart w:id="5" w:name="_Toc126325726"/>
      <w:r>
        <w:t xml:space="preserve">2.3 </w:t>
      </w:r>
      <w:r w:rsidR="00DD305B">
        <w:t>Board</w:t>
      </w:r>
      <w:r>
        <w:t xml:space="preserve"> </w:t>
      </w:r>
      <w:r w:rsidR="00DD305B">
        <w:t>Committee</w:t>
      </w:r>
      <w:r>
        <w:t>s</w:t>
      </w:r>
      <w:bookmarkEnd w:id="5"/>
    </w:p>
    <w:p w14:paraId="3D1E8EB1" w14:textId="7D529084" w:rsidR="00F33C4D" w:rsidRDefault="00F33C4D" w:rsidP="00F33C4D">
      <w:pPr>
        <w:pStyle w:val="NormalText"/>
      </w:pPr>
      <w:r w:rsidRPr="00CD6065">
        <w:t xml:space="preserve">The detail of some </w:t>
      </w:r>
      <w:r w:rsidR="00DD305B">
        <w:t>Board</w:t>
      </w:r>
      <w:r w:rsidRPr="00CD6065">
        <w:t xml:space="preserve"> functions is handled through </w:t>
      </w:r>
      <w:r w:rsidR="00DD305B">
        <w:t>Board</w:t>
      </w:r>
      <w:r w:rsidRPr="00CD6065">
        <w:t xml:space="preserve"> </w:t>
      </w:r>
      <w:r w:rsidR="00DD305B">
        <w:t>Committee</w:t>
      </w:r>
      <w:r w:rsidRPr="00CD6065">
        <w:t xml:space="preserve">s. However, the </w:t>
      </w:r>
      <w:r w:rsidR="00DD305B">
        <w:t>Board</w:t>
      </w:r>
      <w:r w:rsidRPr="00CD6065">
        <w:t xml:space="preserve"> as a whole is responsible for determining the </w:t>
      </w:r>
      <w:r w:rsidR="00532798">
        <w:t>scope and power of</w:t>
      </w:r>
      <w:r w:rsidRPr="00CD6065">
        <w:t xml:space="preserve"> each </w:t>
      </w:r>
      <w:r w:rsidR="00DD305B">
        <w:t>Committee</w:t>
      </w:r>
      <w:r w:rsidRPr="00CD6065">
        <w:t xml:space="preserve"> and is ultimately responsible for accepting, modifying, or rejecting </w:t>
      </w:r>
      <w:r w:rsidR="00DD305B">
        <w:t>Committee</w:t>
      </w:r>
      <w:r w:rsidRPr="00CD6065">
        <w:t xml:space="preserve"> recommendations.</w:t>
      </w:r>
    </w:p>
    <w:p w14:paraId="637F1B27" w14:textId="3EC6270D" w:rsidR="00567800" w:rsidRDefault="00567800">
      <w:pPr>
        <w:rPr>
          <w:rFonts w:asciiTheme="minorHAnsi" w:hAnsiTheme="minorHAnsi" w:cs="Tahoma"/>
          <w:spacing w:val="4"/>
          <w:szCs w:val="22"/>
          <w:lang w:val="en-GB"/>
        </w:rPr>
      </w:pPr>
      <w:r>
        <w:br w:type="page"/>
      </w:r>
    </w:p>
    <w:p w14:paraId="5854F7F0" w14:textId="77777777" w:rsidR="009B2BFF" w:rsidRDefault="00F33C4D" w:rsidP="00F33C4D">
      <w:pPr>
        <w:pStyle w:val="NormalText"/>
      </w:pPr>
      <w:r w:rsidRPr="00CD6065">
        <w:lastRenderedPageBreak/>
        <w:t xml:space="preserve">The </w:t>
      </w:r>
      <w:r w:rsidR="00DD305B">
        <w:t>Board</w:t>
      </w:r>
      <w:r w:rsidRPr="00CD6065">
        <w:t xml:space="preserve"> has created</w:t>
      </w:r>
      <w:r w:rsidR="009B2BFF">
        <w:t xml:space="preserve"> two </w:t>
      </w:r>
      <w:r w:rsidR="00DD305B">
        <w:t>Committee</w:t>
      </w:r>
      <w:r w:rsidR="009B2BFF">
        <w:t>s:</w:t>
      </w:r>
    </w:p>
    <w:p w14:paraId="4EB891A5" w14:textId="77777777" w:rsidR="009B2BFF" w:rsidRDefault="00F33C4D" w:rsidP="009B2BFF">
      <w:pPr>
        <w:pStyle w:val="NormalText"/>
        <w:numPr>
          <w:ilvl w:val="0"/>
          <w:numId w:val="19"/>
        </w:numPr>
      </w:pPr>
      <w:r w:rsidRPr="00CD6065">
        <w:t xml:space="preserve">the </w:t>
      </w:r>
      <w:r w:rsidR="00B456A0">
        <w:t>Finance &amp; Audit</w:t>
      </w:r>
      <w:r w:rsidR="009B2BFF">
        <w:t xml:space="preserve"> </w:t>
      </w:r>
      <w:r w:rsidR="00DD305B">
        <w:t>Committee</w:t>
      </w:r>
      <w:r w:rsidR="009B2BFF">
        <w:t xml:space="preserve">; and </w:t>
      </w:r>
    </w:p>
    <w:p w14:paraId="19B85085" w14:textId="21B17722" w:rsidR="009B2BFF" w:rsidRDefault="009B2BFF" w:rsidP="009B2BFF">
      <w:pPr>
        <w:pStyle w:val="NormalText"/>
        <w:numPr>
          <w:ilvl w:val="0"/>
          <w:numId w:val="19"/>
        </w:numPr>
      </w:pPr>
      <w:r>
        <w:t xml:space="preserve">the </w:t>
      </w:r>
      <w:r w:rsidR="00B456A0">
        <w:t xml:space="preserve">Safety, </w:t>
      </w:r>
      <w:r w:rsidR="00165B7F">
        <w:t xml:space="preserve">Risk &amp; Sustainability </w:t>
      </w:r>
      <w:r w:rsidR="00DD305B">
        <w:t>Committee</w:t>
      </w:r>
      <w:r w:rsidR="00F33C4D">
        <w:t xml:space="preserve">. </w:t>
      </w:r>
    </w:p>
    <w:p w14:paraId="4EF5AF2B" w14:textId="77777777" w:rsidR="00F33C4D" w:rsidRDefault="009B2BFF" w:rsidP="00F33C4D">
      <w:pPr>
        <w:pStyle w:val="NormalText"/>
      </w:pPr>
      <w:r>
        <w:t>Both</w:t>
      </w:r>
      <w:r w:rsidR="00F33C4D">
        <w:t xml:space="preserve"> </w:t>
      </w:r>
      <w:r w:rsidR="00DD305B">
        <w:t>Committee</w:t>
      </w:r>
      <w:r w:rsidR="007F3096">
        <w:t>s</w:t>
      </w:r>
      <w:r w:rsidR="00F33C4D" w:rsidRPr="00CD6065">
        <w:t xml:space="preserve"> </w:t>
      </w:r>
      <w:r w:rsidR="00AB1A80" w:rsidRPr="00CD6065">
        <w:t>ha</w:t>
      </w:r>
      <w:r w:rsidR="00AB1A80">
        <w:t xml:space="preserve">ve </w:t>
      </w:r>
      <w:r w:rsidR="00AB1A80" w:rsidRPr="00CD6065">
        <w:t>a</w:t>
      </w:r>
      <w:r w:rsidR="00F33C4D" w:rsidRPr="00CD6065">
        <w:t xml:space="preserve"> </w:t>
      </w:r>
      <w:r w:rsidR="00DD305B">
        <w:t>Charter</w:t>
      </w:r>
      <w:r w:rsidR="00F33C4D">
        <w:t>,</w:t>
      </w:r>
      <w:r w:rsidR="00F33C4D" w:rsidRPr="00CD6065">
        <w:t xml:space="preserve"> approved by the </w:t>
      </w:r>
      <w:r w:rsidR="00DD305B">
        <w:t>Board</w:t>
      </w:r>
      <w:r w:rsidR="00F33C4D" w:rsidRPr="00CD6065">
        <w:t>, defining its duties, reporting requirements and authority.</w:t>
      </w:r>
    </w:p>
    <w:p w14:paraId="424DEEF2" w14:textId="77777777" w:rsidR="00C3040C" w:rsidRPr="00CD6065" w:rsidRDefault="00C3040C" w:rsidP="00F33C4D">
      <w:pPr>
        <w:pStyle w:val="NormalText"/>
      </w:pPr>
      <w:r>
        <w:t xml:space="preserve">The </w:t>
      </w:r>
      <w:r w:rsidR="00DD305B">
        <w:t>Board</w:t>
      </w:r>
      <w:r>
        <w:t xml:space="preserve"> will consider the need to create additional </w:t>
      </w:r>
      <w:r w:rsidR="00DD305B">
        <w:t>Committee</w:t>
      </w:r>
      <w:r>
        <w:t>s should the need arise.</w:t>
      </w:r>
    </w:p>
    <w:p w14:paraId="42D48A16" w14:textId="6B0423D0" w:rsidR="00F33C4D" w:rsidRDefault="00F33C4D" w:rsidP="00F33C4D">
      <w:pPr>
        <w:pStyle w:val="Heading2"/>
      </w:pPr>
      <w:bookmarkStart w:id="6" w:name="_Toc126325727"/>
      <w:r>
        <w:t xml:space="preserve">2.4 Delegations of </w:t>
      </w:r>
      <w:r w:rsidR="00E107D9">
        <w:t>authority</w:t>
      </w:r>
      <w:bookmarkEnd w:id="6"/>
    </w:p>
    <w:p w14:paraId="6EC25577" w14:textId="7FB08E4E" w:rsidR="00F33C4D" w:rsidRDefault="00F33C4D" w:rsidP="00F33C4D">
      <w:pPr>
        <w:pStyle w:val="NormalText"/>
      </w:pPr>
      <w:r w:rsidRPr="00CD6065">
        <w:t xml:space="preserve">Delegated authorities to management are set out in </w:t>
      </w:r>
      <w:r w:rsidR="009C256E">
        <w:t>the</w:t>
      </w:r>
      <w:r w:rsidR="00480B36">
        <w:t xml:space="preserve"> Delegations of Authority Policy (MS-PO-07)</w:t>
      </w:r>
      <w:r w:rsidRPr="00CD6065">
        <w:t>.</w:t>
      </w:r>
      <w:r w:rsidRPr="003407E7">
        <w:t xml:space="preserve"> </w:t>
      </w:r>
      <w:r w:rsidRPr="00CD6065">
        <w:t>Where a delegation is not specified in the</w:t>
      </w:r>
      <w:r>
        <w:t xml:space="preserve"> </w:t>
      </w:r>
      <w:r w:rsidR="00480B36">
        <w:t>D</w:t>
      </w:r>
      <w:r>
        <w:t>elegations</w:t>
      </w:r>
      <w:r w:rsidR="00480B36">
        <w:t xml:space="preserve"> Policy</w:t>
      </w:r>
      <w:r w:rsidRPr="00CD6065">
        <w:t xml:space="preserve">, the </w:t>
      </w:r>
      <w:r w:rsidR="00DD305B">
        <w:t>Board</w:t>
      </w:r>
      <w:r w:rsidRPr="00CD6065">
        <w:t xml:space="preserve"> retains the authority and approval to act must be sought from the </w:t>
      </w:r>
      <w:r w:rsidR="00DD305B">
        <w:t>Board</w:t>
      </w:r>
      <w:r w:rsidRPr="00CD6065">
        <w:t>.</w:t>
      </w:r>
    </w:p>
    <w:p w14:paraId="62617C36" w14:textId="3AD77B1E" w:rsidR="00F33C4D" w:rsidRDefault="00F33C4D" w:rsidP="00F33C4D">
      <w:pPr>
        <w:pStyle w:val="Heading1"/>
      </w:pPr>
      <w:bookmarkStart w:id="7" w:name="_Toc126325728"/>
      <w:r>
        <w:t xml:space="preserve">3. </w:t>
      </w:r>
      <w:r w:rsidR="00DD305B">
        <w:t>Board</w:t>
      </w:r>
      <w:r>
        <w:t xml:space="preserve"> </w:t>
      </w:r>
      <w:r w:rsidR="00E107D9">
        <w:t>structure</w:t>
      </w:r>
      <w:bookmarkEnd w:id="7"/>
    </w:p>
    <w:p w14:paraId="50E70FAA" w14:textId="77777777" w:rsidR="00F33C4D" w:rsidRDefault="00F33C4D" w:rsidP="00F33C4D">
      <w:pPr>
        <w:pStyle w:val="Heading2"/>
      </w:pPr>
      <w:bookmarkStart w:id="8" w:name="_Toc126325729"/>
      <w:r>
        <w:t xml:space="preserve">3.1 Number of </w:t>
      </w:r>
      <w:r w:rsidR="00DD305B">
        <w:t>Director</w:t>
      </w:r>
      <w:r>
        <w:t>s</w:t>
      </w:r>
      <w:bookmarkEnd w:id="8"/>
    </w:p>
    <w:p w14:paraId="4B50C3C0" w14:textId="77777777" w:rsidR="009D1D1D" w:rsidRDefault="009D1D1D" w:rsidP="009D1D1D">
      <w:pPr>
        <w:pStyle w:val="NormalText"/>
      </w:pPr>
      <w:r w:rsidRPr="00C134A1">
        <w:t xml:space="preserve">The </w:t>
      </w:r>
      <w:r w:rsidR="00DD305B">
        <w:t>Board</w:t>
      </w:r>
      <w:r>
        <w:t xml:space="preserve">: </w:t>
      </w:r>
    </w:p>
    <w:p w14:paraId="7472722A" w14:textId="77777777" w:rsidR="009D1D1D" w:rsidRDefault="009D1D1D" w:rsidP="009D1D1D">
      <w:pPr>
        <w:pStyle w:val="Bullet1"/>
      </w:pPr>
      <w:r>
        <w:t xml:space="preserve">must consist of </w:t>
      </w:r>
      <w:r w:rsidRPr="00D2577E">
        <w:t xml:space="preserve">not less than </w:t>
      </w:r>
      <w:r>
        <w:t xml:space="preserve">five nor more than ten </w:t>
      </w:r>
      <w:proofErr w:type="gramStart"/>
      <w:r w:rsidR="00DD305B">
        <w:t>Director</w:t>
      </w:r>
      <w:r>
        <w:t>s;</w:t>
      </w:r>
      <w:proofErr w:type="gramEnd"/>
      <w:r w:rsidRPr="00897054">
        <w:rPr>
          <w:rStyle w:val="FootnoteReference"/>
          <w:rFonts w:ascii="Corbel" w:hAnsi="Corbel"/>
        </w:rPr>
        <w:t xml:space="preserve"> </w:t>
      </w:r>
    </w:p>
    <w:p w14:paraId="6592B828" w14:textId="77777777" w:rsidR="009D1D1D" w:rsidRDefault="009D1D1D" w:rsidP="009D1D1D">
      <w:pPr>
        <w:pStyle w:val="Bullet1"/>
      </w:pPr>
      <w:r>
        <w:t xml:space="preserve">must have an equal number of grower and miller </w:t>
      </w:r>
      <w:r w:rsidR="00DD305B">
        <w:t>Director</w:t>
      </w:r>
      <w:r>
        <w:t>s;</w:t>
      </w:r>
      <w:r w:rsidRPr="00897054">
        <w:rPr>
          <w:rStyle w:val="FootnoteReference"/>
          <w:rFonts w:ascii="Corbel" w:hAnsi="Corbel"/>
        </w:rPr>
        <w:t xml:space="preserve"> </w:t>
      </w:r>
      <w:r>
        <w:t>and</w:t>
      </w:r>
    </w:p>
    <w:p w14:paraId="48AFBCF5" w14:textId="77777777" w:rsidR="009D1D1D" w:rsidRDefault="009D1D1D" w:rsidP="009D1D1D">
      <w:pPr>
        <w:pStyle w:val="Bullet1"/>
      </w:pPr>
      <w:r>
        <w:t xml:space="preserve">may include one or more independent </w:t>
      </w:r>
      <w:r w:rsidR="00DD305B">
        <w:t>Director</w:t>
      </w:r>
      <w:r>
        <w:t xml:space="preserve">s provided the total number of industry </w:t>
      </w:r>
      <w:r w:rsidR="00DD305B">
        <w:t>Director</w:t>
      </w:r>
      <w:r>
        <w:t xml:space="preserve">s exceeds the number of independent </w:t>
      </w:r>
      <w:r w:rsidR="00DD305B">
        <w:t>Director</w:t>
      </w:r>
      <w:r>
        <w:t>s by at least one.</w:t>
      </w:r>
      <w:r w:rsidRPr="008E02C2">
        <w:rPr>
          <w:rStyle w:val="FootnoteReference"/>
          <w:rFonts w:ascii="Corbel" w:hAnsi="Corbel"/>
        </w:rPr>
        <w:t xml:space="preserve"> </w:t>
      </w:r>
    </w:p>
    <w:p w14:paraId="18F0E876" w14:textId="45CD79B0" w:rsidR="003F5BD5" w:rsidRDefault="00865E5F" w:rsidP="009D1D1D">
      <w:pPr>
        <w:pStyle w:val="NormalText"/>
      </w:pPr>
      <w:r>
        <w:t xml:space="preserve">The </w:t>
      </w:r>
      <w:r w:rsidR="00DD305B">
        <w:t>Board</w:t>
      </w:r>
      <w:r>
        <w:t xml:space="preserve"> currently consists of</w:t>
      </w:r>
      <w:r w:rsidR="009D1D1D">
        <w:t xml:space="preserve"> two grower </w:t>
      </w:r>
      <w:r w:rsidR="00DD305B">
        <w:t>Director</w:t>
      </w:r>
      <w:r w:rsidR="009D1D1D">
        <w:t xml:space="preserve">s, two miller </w:t>
      </w:r>
      <w:r w:rsidR="00DD305B">
        <w:t>Director</w:t>
      </w:r>
      <w:r w:rsidR="009D1D1D">
        <w:t xml:space="preserve">s and </w:t>
      </w:r>
      <w:r>
        <w:t>t</w:t>
      </w:r>
      <w:r w:rsidR="003F5BD5">
        <w:t>hree</w:t>
      </w:r>
      <w:r w:rsidR="009D1D1D">
        <w:t xml:space="preserve"> independent </w:t>
      </w:r>
      <w:r w:rsidR="00DD305B">
        <w:t>Director</w:t>
      </w:r>
      <w:r w:rsidR="003F5BD5">
        <w:t>s</w:t>
      </w:r>
      <w:r w:rsidR="00F35D47">
        <w:t>,</w:t>
      </w:r>
      <w:r w:rsidR="009D1D1D">
        <w:t xml:space="preserve"> </w:t>
      </w:r>
      <w:r>
        <w:t xml:space="preserve">one of whom is </w:t>
      </w:r>
      <w:r w:rsidR="009D1D1D">
        <w:t xml:space="preserve">the </w:t>
      </w:r>
      <w:r w:rsidR="00E30596">
        <w:t>Chair</w:t>
      </w:r>
      <w:r w:rsidR="009D1D1D">
        <w:t xml:space="preserve">. </w:t>
      </w:r>
    </w:p>
    <w:p w14:paraId="6D12A818" w14:textId="1D3E4818" w:rsidR="009D1D1D" w:rsidRDefault="009D1D1D" w:rsidP="00F33C4D">
      <w:pPr>
        <w:pStyle w:val="Heading2"/>
      </w:pPr>
      <w:bookmarkStart w:id="9" w:name="_Toc126325730"/>
      <w:r>
        <w:t xml:space="preserve">3.2 </w:t>
      </w:r>
      <w:r w:rsidR="00DD305B">
        <w:t>Board</w:t>
      </w:r>
      <w:r>
        <w:t xml:space="preserve"> </w:t>
      </w:r>
      <w:r w:rsidR="00E107D9">
        <w:t xml:space="preserve">skills </w:t>
      </w:r>
      <w:r>
        <w:t xml:space="preserve">and </w:t>
      </w:r>
      <w:r w:rsidR="00E107D9">
        <w:t>diversity</w:t>
      </w:r>
      <w:bookmarkEnd w:id="9"/>
      <w:r w:rsidR="00E107D9">
        <w:t xml:space="preserve"> </w:t>
      </w:r>
    </w:p>
    <w:p w14:paraId="7FC78784" w14:textId="77777777" w:rsidR="009D1D1D" w:rsidRDefault="00DD305B" w:rsidP="009D1D1D">
      <w:pPr>
        <w:pStyle w:val="NormalText"/>
      </w:pPr>
      <w:r>
        <w:t>Director</w:t>
      </w:r>
      <w:r w:rsidR="009D1D1D" w:rsidRPr="00CD6065">
        <w:t>s should bring specific skills</w:t>
      </w:r>
      <w:r w:rsidR="009D1D1D">
        <w:t xml:space="preserve">, knowledge </w:t>
      </w:r>
      <w:r w:rsidR="009D1D1D" w:rsidRPr="00CD6065">
        <w:t xml:space="preserve">and experience that add value to the </w:t>
      </w:r>
      <w:r>
        <w:t>Company</w:t>
      </w:r>
      <w:r w:rsidR="009D1D1D" w:rsidRPr="00CD6065">
        <w:t xml:space="preserve">. </w:t>
      </w:r>
    </w:p>
    <w:p w14:paraId="24A6DB40" w14:textId="07A0ADF2" w:rsidR="00361D30" w:rsidRPr="00CD6065" w:rsidRDefault="00532798" w:rsidP="009D1D1D">
      <w:pPr>
        <w:pStyle w:val="NormalText"/>
      </w:pPr>
      <w:r>
        <w:t>A</w:t>
      </w:r>
      <w:r w:rsidR="00361D30">
        <w:t xml:space="preserve"> diverse set of skills and experience </w:t>
      </w:r>
      <w:r>
        <w:t xml:space="preserve">should be </w:t>
      </w:r>
      <w:r w:rsidR="00361D30">
        <w:t>represented on the Board.</w:t>
      </w:r>
    </w:p>
    <w:p w14:paraId="3035E950" w14:textId="5A703286" w:rsidR="009D1D1D" w:rsidRDefault="009D1D1D" w:rsidP="00F33C4D">
      <w:pPr>
        <w:pStyle w:val="Heading2"/>
      </w:pPr>
      <w:bookmarkStart w:id="10" w:name="_Toc126325731"/>
      <w:r>
        <w:t xml:space="preserve">3.3 Terms and </w:t>
      </w:r>
      <w:r w:rsidR="00E107D9">
        <w:t xml:space="preserve">conditions </w:t>
      </w:r>
      <w:r>
        <w:t xml:space="preserve">of </w:t>
      </w:r>
      <w:r w:rsidR="00E107D9">
        <w:t>appointment</w:t>
      </w:r>
      <w:bookmarkEnd w:id="10"/>
    </w:p>
    <w:p w14:paraId="1F446B58" w14:textId="758F3BE5" w:rsidR="009D1D1D" w:rsidRDefault="009D1D1D" w:rsidP="009D1D1D">
      <w:pPr>
        <w:pStyle w:val="NormalText"/>
      </w:pPr>
      <w:r w:rsidRPr="00CD6065">
        <w:t>The terms and conditions of the appointment of new</w:t>
      </w:r>
      <w:r w:rsidR="00B27E01">
        <w:t>,</w:t>
      </w:r>
      <w:r w:rsidRPr="00CD6065">
        <w:t xml:space="preserve"> non-executive </w:t>
      </w:r>
      <w:r w:rsidR="00DD305B">
        <w:t>Director</w:t>
      </w:r>
      <w:r w:rsidRPr="00CD6065">
        <w:t>s are contained in a letter of appointment which sets out, among other things:</w:t>
      </w:r>
    </w:p>
    <w:p w14:paraId="1ED6DB2C" w14:textId="77777777" w:rsidR="009D1D1D" w:rsidRPr="00CD6065" w:rsidRDefault="009D1D1D" w:rsidP="009D1D1D">
      <w:pPr>
        <w:pStyle w:val="Bullet1"/>
      </w:pPr>
      <w:r w:rsidRPr="00CD6065">
        <w:lastRenderedPageBreak/>
        <w:t xml:space="preserve">Term of </w:t>
      </w:r>
      <w:proofErr w:type="gramStart"/>
      <w:r w:rsidRPr="00CD6065">
        <w:t>appointment;</w:t>
      </w:r>
      <w:proofErr w:type="gramEnd"/>
    </w:p>
    <w:p w14:paraId="33A2F669" w14:textId="77777777" w:rsidR="009D1D1D" w:rsidRPr="00CD6065" w:rsidRDefault="009D1D1D" w:rsidP="009D1D1D">
      <w:pPr>
        <w:pStyle w:val="Bullet1"/>
      </w:pPr>
      <w:proofErr w:type="gramStart"/>
      <w:r w:rsidRPr="00CD6065">
        <w:t>Remuneration;</w:t>
      </w:r>
      <w:proofErr w:type="gramEnd"/>
    </w:p>
    <w:p w14:paraId="0DD3E24E" w14:textId="77777777" w:rsidR="009D1D1D" w:rsidRPr="00CD6065" w:rsidRDefault="009D1D1D" w:rsidP="009D1D1D">
      <w:pPr>
        <w:pStyle w:val="Bullet1"/>
      </w:pPr>
      <w:r w:rsidRPr="00CD6065">
        <w:t xml:space="preserve">Expectations in connection with meetings and </w:t>
      </w:r>
      <w:proofErr w:type="gramStart"/>
      <w:r w:rsidR="00DD305B">
        <w:t>Committee</w:t>
      </w:r>
      <w:r w:rsidRPr="00CD6065">
        <w:t>s;</w:t>
      </w:r>
      <w:proofErr w:type="gramEnd"/>
    </w:p>
    <w:p w14:paraId="149D7ABE" w14:textId="1146ABAE" w:rsidR="009D1D1D" w:rsidRPr="00CD6065" w:rsidRDefault="009D1D1D" w:rsidP="009D1D1D">
      <w:pPr>
        <w:pStyle w:val="Bullet1"/>
      </w:pPr>
      <w:r w:rsidRPr="00CD6065">
        <w:t xml:space="preserve">Classification as an </w:t>
      </w:r>
      <w:r w:rsidR="00480B36">
        <w:t>I</w:t>
      </w:r>
      <w:r w:rsidRPr="00CD6065">
        <w:t xml:space="preserve">ndependent </w:t>
      </w:r>
      <w:r w:rsidR="00DD305B">
        <w:t>Director</w:t>
      </w:r>
      <w:r w:rsidRPr="00CD6065">
        <w:t xml:space="preserve"> (if applicable) and expectations in this </w:t>
      </w:r>
      <w:proofErr w:type="gramStart"/>
      <w:r w:rsidRPr="00CD6065">
        <w:t>regard;</w:t>
      </w:r>
      <w:proofErr w:type="gramEnd"/>
    </w:p>
    <w:p w14:paraId="787A8B89" w14:textId="434A5E78" w:rsidR="009D1D1D" w:rsidRPr="00CD6065" w:rsidRDefault="009D1D1D" w:rsidP="009D1D1D">
      <w:pPr>
        <w:pStyle w:val="Bullet1"/>
      </w:pPr>
      <w:r w:rsidRPr="00CD6065">
        <w:t xml:space="preserve">Compliance with corporate governance policies </w:t>
      </w:r>
      <w:r w:rsidR="00480B36">
        <w:t xml:space="preserve">as set out in the Directors’ Handbook, </w:t>
      </w:r>
    </w:p>
    <w:p w14:paraId="1047EFAC" w14:textId="77777777" w:rsidR="009853B9" w:rsidRDefault="009D1D1D" w:rsidP="009853B9">
      <w:pPr>
        <w:pStyle w:val="Bullet1"/>
      </w:pPr>
      <w:r w:rsidRPr="00CD6065">
        <w:t xml:space="preserve">Outside </w:t>
      </w:r>
      <w:r w:rsidR="00DD305B">
        <w:t>Director</w:t>
      </w:r>
      <w:r w:rsidRPr="00CD6065">
        <w:t>ships; and</w:t>
      </w:r>
    </w:p>
    <w:p w14:paraId="32C2585A" w14:textId="77777777" w:rsidR="00610CD2" w:rsidRDefault="009D1D1D" w:rsidP="009853B9">
      <w:pPr>
        <w:pStyle w:val="Bullet1"/>
      </w:pPr>
      <w:r w:rsidRPr="00CD6065">
        <w:t>Indemnification and insurance.</w:t>
      </w:r>
    </w:p>
    <w:p w14:paraId="64C43761" w14:textId="77777777" w:rsidR="009D1D1D" w:rsidRDefault="009D1D1D" w:rsidP="009D1D1D">
      <w:pPr>
        <w:pStyle w:val="NormalText"/>
      </w:pPr>
      <w:r w:rsidRPr="00CD6065">
        <w:t xml:space="preserve">All </w:t>
      </w:r>
      <w:r w:rsidR="00DD305B">
        <w:t>Director</w:t>
      </w:r>
      <w:r w:rsidRPr="00CD6065">
        <w:t xml:space="preserve">s have access to </w:t>
      </w:r>
      <w:r w:rsidR="00DD305B">
        <w:t>Company</w:t>
      </w:r>
      <w:r w:rsidRPr="00CD6065">
        <w:t xml:space="preserve"> information, </w:t>
      </w:r>
      <w:proofErr w:type="gramStart"/>
      <w:r w:rsidRPr="00CD6065">
        <w:t>management</w:t>
      </w:r>
      <w:proofErr w:type="gramEnd"/>
      <w:r w:rsidRPr="00CD6065">
        <w:t xml:space="preserve"> and the </w:t>
      </w:r>
      <w:r w:rsidR="00DD305B">
        <w:t>Company</w:t>
      </w:r>
      <w:r w:rsidRPr="00CD6065">
        <w:t xml:space="preserve"> </w:t>
      </w:r>
      <w:r w:rsidR="00CA6E00">
        <w:t>Secretary</w:t>
      </w:r>
      <w:r w:rsidRPr="00CD6065">
        <w:t xml:space="preserve"> to enable them to carry out their responsibilities.</w:t>
      </w:r>
    </w:p>
    <w:p w14:paraId="568D7767" w14:textId="14D0DFB7" w:rsidR="009D1D1D" w:rsidRPr="00237934" w:rsidRDefault="00DD305B" w:rsidP="009D1D1D">
      <w:pPr>
        <w:pStyle w:val="NormalText"/>
      </w:pPr>
      <w:r>
        <w:t>Director</w:t>
      </w:r>
      <w:r w:rsidR="009D1D1D" w:rsidRPr="00CD6065">
        <w:t xml:space="preserve">s may also call on independent, professional advice at the expense of </w:t>
      </w:r>
      <w:r w:rsidR="0016265B">
        <w:t>STL</w:t>
      </w:r>
      <w:r w:rsidR="009D1D1D" w:rsidRPr="00CD6065">
        <w:t xml:space="preserve"> in carrying out their duties. It is expected that prior consultation with the </w:t>
      </w:r>
      <w:r w:rsidR="00E30596">
        <w:t>Chair</w:t>
      </w:r>
      <w:r w:rsidR="009D1D1D" w:rsidRPr="00CD6065">
        <w:t xml:space="preserve"> will take place before consultation with external advisers.</w:t>
      </w:r>
    </w:p>
    <w:p w14:paraId="0C2A8B3B" w14:textId="7BFC58AD" w:rsidR="009D1D1D" w:rsidRDefault="009D1D1D" w:rsidP="009D1D1D">
      <w:pPr>
        <w:pStyle w:val="Heading1"/>
      </w:pPr>
      <w:bookmarkStart w:id="11" w:name="_Toc126325732"/>
      <w:r>
        <w:t xml:space="preserve">4. The </w:t>
      </w:r>
      <w:r w:rsidR="00E107D9">
        <w:t xml:space="preserve">role </w:t>
      </w:r>
      <w:r>
        <w:t xml:space="preserve">of </w:t>
      </w:r>
      <w:r w:rsidR="00E107D9">
        <w:t xml:space="preserve">individual </w:t>
      </w:r>
      <w:r w:rsidR="00DD305B">
        <w:t>Director</w:t>
      </w:r>
      <w:r>
        <w:t>s</w:t>
      </w:r>
      <w:bookmarkEnd w:id="11"/>
    </w:p>
    <w:p w14:paraId="572BFD9F" w14:textId="0FBFCF6F" w:rsidR="009D1D1D" w:rsidRDefault="009D1D1D" w:rsidP="009D1D1D">
      <w:pPr>
        <w:pStyle w:val="Heading2"/>
      </w:pPr>
      <w:bookmarkStart w:id="12" w:name="_Toc126325733"/>
      <w:r>
        <w:t xml:space="preserve">4.1 </w:t>
      </w:r>
      <w:r w:rsidR="00DD305B">
        <w:t>Director</w:t>
      </w:r>
      <w:r>
        <w:t xml:space="preserve">s’ </w:t>
      </w:r>
      <w:r w:rsidR="00E107D9">
        <w:t>general roles</w:t>
      </w:r>
      <w:bookmarkEnd w:id="12"/>
    </w:p>
    <w:p w14:paraId="4DAD9686" w14:textId="77777777" w:rsidR="0018041E" w:rsidRDefault="0018041E" w:rsidP="0018041E">
      <w:pPr>
        <w:pStyle w:val="NormalText"/>
      </w:pPr>
      <w:r>
        <w:t xml:space="preserve">Under s.181 </w:t>
      </w:r>
      <w:r>
        <w:rPr>
          <w:i/>
        </w:rPr>
        <w:t xml:space="preserve">Corporations Act 2001 </w:t>
      </w:r>
      <w:r>
        <w:t>(</w:t>
      </w:r>
      <w:proofErr w:type="spellStart"/>
      <w:r>
        <w:t>Cth</w:t>
      </w:r>
      <w:proofErr w:type="spellEnd"/>
      <w:r>
        <w:t>), STL Directors</w:t>
      </w:r>
      <w:r w:rsidRPr="00CD6065">
        <w:t xml:space="preserve"> must act in the best interests of the </w:t>
      </w:r>
      <w:r>
        <w:t>Company</w:t>
      </w:r>
      <w:r w:rsidRPr="00CD6065">
        <w:t xml:space="preserve">. </w:t>
      </w:r>
    </w:p>
    <w:p w14:paraId="177483C0" w14:textId="77777777" w:rsidR="009D1D1D" w:rsidRPr="00CD6065" w:rsidRDefault="0016265B" w:rsidP="009D1D1D">
      <w:pPr>
        <w:pStyle w:val="NormalText"/>
      </w:pPr>
      <w:r>
        <w:t>STL</w:t>
      </w:r>
      <w:r w:rsidR="009D1D1D" w:rsidRPr="00CD6065">
        <w:t xml:space="preserve"> </w:t>
      </w:r>
      <w:r w:rsidR="00DD305B">
        <w:t>Director</w:t>
      </w:r>
      <w:r w:rsidR="009D1D1D" w:rsidRPr="00CD6065">
        <w:t xml:space="preserve">s have ultimate responsibility for the overall successful operations of the </w:t>
      </w:r>
      <w:r w:rsidR="00DD305B">
        <w:t>Company</w:t>
      </w:r>
      <w:r w:rsidR="009D1D1D" w:rsidRPr="00CD6065">
        <w:t>. Their duties relate to:</w:t>
      </w:r>
    </w:p>
    <w:p w14:paraId="6BEF13E5" w14:textId="77777777" w:rsidR="009D1D1D" w:rsidRPr="00CD6065" w:rsidRDefault="009D1D1D" w:rsidP="009D1D1D">
      <w:pPr>
        <w:pStyle w:val="Bullet1"/>
      </w:pPr>
      <w:r w:rsidRPr="00CD6065">
        <w:t xml:space="preserve">the strategic direction of the </w:t>
      </w:r>
      <w:proofErr w:type="gramStart"/>
      <w:r w:rsidR="00DD305B">
        <w:t>Company</w:t>
      </w:r>
      <w:r w:rsidRPr="00CD6065">
        <w:t>;</w:t>
      </w:r>
      <w:proofErr w:type="gramEnd"/>
    </w:p>
    <w:p w14:paraId="4DDB2C68" w14:textId="77777777" w:rsidR="009D1D1D" w:rsidRPr="00CD6065" w:rsidRDefault="009D1D1D" w:rsidP="009D1D1D">
      <w:pPr>
        <w:pStyle w:val="Bullet1"/>
      </w:pPr>
      <w:r w:rsidRPr="00CD6065">
        <w:t xml:space="preserve">financial operations and </w:t>
      </w:r>
      <w:proofErr w:type="gramStart"/>
      <w:r w:rsidRPr="00CD6065">
        <w:t>solvency;</w:t>
      </w:r>
      <w:proofErr w:type="gramEnd"/>
    </w:p>
    <w:p w14:paraId="6C436121" w14:textId="02C0F1EF" w:rsidR="009D1D1D" w:rsidRPr="00CD6065" w:rsidRDefault="009D1D1D" w:rsidP="009D1D1D">
      <w:pPr>
        <w:pStyle w:val="Bullet1"/>
      </w:pPr>
      <w:r w:rsidRPr="00CD6065">
        <w:t xml:space="preserve">all matters as prescribed by law including, but not limited to, </w:t>
      </w:r>
      <w:r w:rsidR="008D4148">
        <w:t xml:space="preserve">safety, </w:t>
      </w:r>
      <w:proofErr w:type="gramStart"/>
      <w:r w:rsidR="008D4148">
        <w:t>risk</w:t>
      </w:r>
      <w:proofErr w:type="gramEnd"/>
      <w:r w:rsidR="008D4148">
        <w:t xml:space="preserve"> and </w:t>
      </w:r>
      <w:r w:rsidR="004F2AF1">
        <w:t>sustainability</w:t>
      </w:r>
      <w:r w:rsidRPr="00CD6065">
        <w:t>; and</w:t>
      </w:r>
    </w:p>
    <w:p w14:paraId="6FF21689" w14:textId="0352DC61" w:rsidR="009D1D1D" w:rsidRDefault="009D1D1D" w:rsidP="009D1D1D">
      <w:pPr>
        <w:pStyle w:val="Bullet1"/>
      </w:pPr>
      <w:r w:rsidRPr="00CD6065">
        <w:t>all major policy issues including, but not limited to, industrial relations and quality assurance.</w:t>
      </w:r>
    </w:p>
    <w:p w14:paraId="1CDD26B2" w14:textId="4233D6BA" w:rsidR="00B27E01" w:rsidRDefault="00B27E01">
      <w:pPr>
        <w:rPr>
          <w:rFonts w:cs="Tahoma"/>
          <w:spacing w:val="4"/>
          <w:szCs w:val="22"/>
          <w:lang w:val="en-GB"/>
        </w:rPr>
      </w:pPr>
      <w:r>
        <w:br w:type="page"/>
      </w:r>
    </w:p>
    <w:p w14:paraId="79E97122" w14:textId="225EC0C9" w:rsidR="009D1D1D" w:rsidRDefault="009D1D1D" w:rsidP="009D1D1D">
      <w:pPr>
        <w:pStyle w:val="Heading2"/>
      </w:pPr>
      <w:bookmarkStart w:id="13" w:name="_Toc126325734"/>
      <w:r>
        <w:lastRenderedPageBreak/>
        <w:t xml:space="preserve">4.2 </w:t>
      </w:r>
      <w:r w:rsidR="00DD305B">
        <w:t>Director</w:t>
      </w:r>
      <w:r>
        <w:t xml:space="preserve">s’ </w:t>
      </w:r>
      <w:r w:rsidR="00E107D9">
        <w:t xml:space="preserve">code </w:t>
      </w:r>
      <w:r>
        <w:t xml:space="preserve">of </w:t>
      </w:r>
      <w:r w:rsidR="00E107D9">
        <w:t>conduct</w:t>
      </w:r>
      <w:bookmarkEnd w:id="13"/>
    </w:p>
    <w:p w14:paraId="0BA61081" w14:textId="77777777" w:rsidR="009D1D1D" w:rsidRPr="00CD6065" w:rsidRDefault="009D1D1D" w:rsidP="009D1D1D">
      <w:pPr>
        <w:pStyle w:val="NormalText"/>
      </w:pPr>
      <w:r w:rsidRPr="00CD6065">
        <w:t xml:space="preserve">In accordance with legal requirements and agreed ethical standards, </w:t>
      </w:r>
      <w:r>
        <w:t>S</w:t>
      </w:r>
      <w:r w:rsidR="00F17347">
        <w:t xml:space="preserve">TL </w:t>
      </w:r>
      <w:r w:rsidR="00DD305B">
        <w:t>Director</w:t>
      </w:r>
      <w:r w:rsidR="00222C5B" w:rsidRPr="00CD6065">
        <w:t>s</w:t>
      </w:r>
      <w:r w:rsidRPr="00CD6065">
        <w:t>:</w:t>
      </w:r>
    </w:p>
    <w:p w14:paraId="7CD3CEBF" w14:textId="77777777" w:rsidR="009D1D1D" w:rsidRPr="00CD6065" w:rsidRDefault="009D1D1D" w:rsidP="009D1D1D">
      <w:pPr>
        <w:pStyle w:val="Bullet1"/>
      </w:pPr>
      <w:r w:rsidRPr="00CD6065">
        <w:t xml:space="preserve">owe a fiduciary duty to the </w:t>
      </w:r>
      <w:r w:rsidR="00DD305B">
        <w:t>Company</w:t>
      </w:r>
      <w:r w:rsidRPr="00CD6065">
        <w:t xml:space="preserve"> as a </w:t>
      </w:r>
      <w:proofErr w:type="gramStart"/>
      <w:r w:rsidRPr="00CD6065">
        <w:t>whole;</w:t>
      </w:r>
      <w:proofErr w:type="gramEnd"/>
    </w:p>
    <w:p w14:paraId="64AF63D4" w14:textId="77777777" w:rsidR="009D1D1D" w:rsidRPr="00CD6065" w:rsidRDefault="009D1D1D" w:rsidP="009D1D1D">
      <w:pPr>
        <w:pStyle w:val="Bullet1"/>
      </w:pPr>
      <w:r w:rsidRPr="00CD6065">
        <w:t xml:space="preserve">use the powers of the office for a proper </w:t>
      </w:r>
      <w:proofErr w:type="gramStart"/>
      <w:r w:rsidRPr="00CD6065">
        <w:t>purpose;</w:t>
      </w:r>
      <w:proofErr w:type="gramEnd"/>
    </w:p>
    <w:p w14:paraId="3795B254" w14:textId="7EF16327" w:rsidR="009D1D1D" w:rsidRPr="00CD6065" w:rsidRDefault="009D1D1D" w:rsidP="009D1D1D">
      <w:pPr>
        <w:pStyle w:val="Bullet1"/>
      </w:pPr>
      <w:r w:rsidRPr="00CD6065">
        <w:t xml:space="preserve">discharge their duties </w:t>
      </w:r>
      <w:r w:rsidR="0018041E" w:rsidRPr="00CD6065">
        <w:t>honestly</w:t>
      </w:r>
      <w:r w:rsidR="0018041E">
        <w:t xml:space="preserve"> and</w:t>
      </w:r>
      <w:r w:rsidR="0018041E" w:rsidRPr="00CD6065">
        <w:t xml:space="preserve"> </w:t>
      </w:r>
      <w:r w:rsidRPr="00CD6065">
        <w:t xml:space="preserve">in good </w:t>
      </w:r>
      <w:proofErr w:type="gramStart"/>
      <w:r w:rsidRPr="00CD6065">
        <w:t>faith;</w:t>
      </w:r>
      <w:proofErr w:type="gramEnd"/>
    </w:p>
    <w:p w14:paraId="04E71317" w14:textId="77777777" w:rsidR="009D1D1D" w:rsidRPr="00CD6065" w:rsidRDefault="009D1D1D" w:rsidP="009D1D1D">
      <w:pPr>
        <w:pStyle w:val="Bullet1"/>
      </w:pPr>
      <w:r w:rsidRPr="00CD6065">
        <w:t xml:space="preserve">act with the level of skill, care and diligence expected of a </w:t>
      </w:r>
      <w:r w:rsidR="00DD305B">
        <w:t>Director</w:t>
      </w:r>
      <w:r w:rsidRPr="00CD6065">
        <w:t xml:space="preserve"> of a </w:t>
      </w:r>
      <w:proofErr w:type="gramStart"/>
      <w:r w:rsidR="00DD305B">
        <w:t>Company</w:t>
      </w:r>
      <w:r w:rsidRPr="00CD6065">
        <w:t>;</w:t>
      </w:r>
      <w:proofErr w:type="gramEnd"/>
    </w:p>
    <w:p w14:paraId="2FD41347" w14:textId="77777777" w:rsidR="009D1D1D" w:rsidRPr="009D1D1D" w:rsidRDefault="009D1D1D" w:rsidP="009D1D1D">
      <w:pPr>
        <w:pStyle w:val="Bullet1"/>
      </w:pPr>
      <w:r w:rsidRPr="009D1D1D">
        <w:t xml:space="preserve">demonstrate commercial reasonableness in their </w:t>
      </w:r>
      <w:proofErr w:type="gramStart"/>
      <w:r w:rsidRPr="009D1D1D">
        <w:t>decisions;</w:t>
      </w:r>
      <w:proofErr w:type="gramEnd"/>
    </w:p>
    <w:p w14:paraId="75F44DED" w14:textId="77777777" w:rsidR="009D1D1D" w:rsidRPr="009D1D1D" w:rsidRDefault="009D1D1D" w:rsidP="009D1D1D">
      <w:pPr>
        <w:pStyle w:val="Bullet1"/>
      </w:pPr>
      <w:r w:rsidRPr="009D1D1D">
        <w:t xml:space="preserve">act for the benefit of the </w:t>
      </w:r>
      <w:proofErr w:type="gramStart"/>
      <w:r w:rsidR="00DD305B">
        <w:t>Company</w:t>
      </w:r>
      <w:r w:rsidRPr="009D1D1D">
        <w:t>;</w:t>
      </w:r>
      <w:proofErr w:type="gramEnd"/>
    </w:p>
    <w:p w14:paraId="385E73B6" w14:textId="77777777" w:rsidR="009D1D1D" w:rsidRPr="009D1D1D" w:rsidRDefault="009D1D1D" w:rsidP="009D1D1D">
      <w:pPr>
        <w:pStyle w:val="Bullet1"/>
      </w:pPr>
      <w:r w:rsidRPr="009D1D1D">
        <w:t xml:space="preserve">do not make improper use of information gained through their position as a </w:t>
      </w:r>
      <w:proofErr w:type="gramStart"/>
      <w:r w:rsidR="00DD305B">
        <w:t>Director</w:t>
      </w:r>
      <w:r w:rsidRPr="009D1D1D">
        <w:t>;</w:t>
      </w:r>
      <w:proofErr w:type="gramEnd"/>
    </w:p>
    <w:p w14:paraId="1A89D547" w14:textId="77777777" w:rsidR="009D1D1D" w:rsidRPr="009D1D1D" w:rsidRDefault="009D1D1D" w:rsidP="009D1D1D">
      <w:pPr>
        <w:pStyle w:val="Bullet1"/>
      </w:pPr>
      <w:r w:rsidRPr="009D1D1D">
        <w:t xml:space="preserve">do not take improper advantage of the position of </w:t>
      </w:r>
      <w:proofErr w:type="gramStart"/>
      <w:r w:rsidR="00DD305B">
        <w:t>Director</w:t>
      </w:r>
      <w:r w:rsidRPr="009D1D1D">
        <w:t>;</w:t>
      </w:r>
      <w:proofErr w:type="gramEnd"/>
    </w:p>
    <w:p w14:paraId="34C7B533" w14:textId="77777777" w:rsidR="009D1D1D" w:rsidRPr="009D1D1D" w:rsidRDefault="009D1D1D" w:rsidP="009D1D1D">
      <w:pPr>
        <w:pStyle w:val="Bullet1"/>
      </w:pPr>
      <w:r w:rsidRPr="009D1D1D">
        <w:t xml:space="preserve">do not allow personal interests, or the interest of any associated person, to conflict with the interests of the </w:t>
      </w:r>
      <w:proofErr w:type="gramStart"/>
      <w:r w:rsidR="00DD305B">
        <w:t>Company</w:t>
      </w:r>
      <w:r w:rsidRPr="009D1D1D">
        <w:t>;</w:t>
      </w:r>
      <w:proofErr w:type="gramEnd"/>
    </w:p>
    <w:p w14:paraId="6C7F260A" w14:textId="77777777" w:rsidR="009D1D1D" w:rsidRPr="009D1D1D" w:rsidRDefault="009D1D1D" w:rsidP="009D1D1D">
      <w:pPr>
        <w:pStyle w:val="Bullet1"/>
      </w:pPr>
      <w:r w:rsidRPr="009D1D1D">
        <w:t xml:space="preserve">make reasonable enquiries to ensure that the </w:t>
      </w:r>
      <w:r w:rsidR="00DD305B">
        <w:t>Company</w:t>
      </w:r>
      <w:r w:rsidRPr="009D1D1D">
        <w:t xml:space="preserve"> is operating efficiently, effectively and legally towards achieving its </w:t>
      </w:r>
      <w:proofErr w:type="gramStart"/>
      <w:r w:rsidRPr="009D1D1D">
        <w:t>goals;</w:t>
      </w:r>
      <w:proofErr w:type="gramEnd"/>
    </w:p>
    <w:p w14:paraId="64E33688" w14:textId="77777777" w:rsidR="009D1D1D" w:rsidRPr="009D1D1D" w:rsidRDefault="009D1D1D" w:rsidP="009D1D1D">
      <w:pPr>
        <w:pStyle w:val="Bullet1"/>
      </w:pPr>
      <w:r w:rsidRPr="009D1D1D">
        <w:t xml:space="preserve">undertake diligent analysis of all proposals placed before the </w:t>
      </w:r>
      <w:proofErr w:type="gramStart"/>
      <w:r w:rsidR="00DD305B">
        <w:t>Board</w:t>
      </w:r>
      <w:r w:rsidRPr="009D1D1D">
        <w:t>;</w:t>
      </w:r>
      <w:proofErr w:type="gramEnd"/>
    </w:p>
    <w:p w14:paraId="7BAFE4A2" w14:textId="77777777" w:rsidR="009D1D1D" w:rsidRPr="009D1D1D" w:rsidRDefault="009D1D1D" w:rsidP="009D1D1D">
      <w:pPr>
        <w:pStyle w:val="Bullet1"/>
      </w:pPr>
      <w:r w:rsidRPr="009D1D1D">
        <w:t xml:space="preserve">do not engage in conduct likely to bring discredit upon the </w:t>
      </w:r>
      <w:proofErr w:type="gramStart"/>
      <w:r w:rsidR="00DD305B">
        <w:t>Company</w:t>
      </w:r>
      <w:r w:rsidRPr="009D1D1D">
        <w:t>;</w:t>
      </w:r>
      <w:proofErr w:type="gramEnd"/>
    </w:p>
    <w:p w14:paraId="25E303E7" w14:textId="77777777" w:rsidR="009D1D1D" w:rsidRPr="009D1D1D" w:rsidRDefault="009D1D1D" w:rsidP="009D1D1D">
      <w:pPr>
        <w:pStyle w:val="Bullet1"/>
      </w:pPr>
      <w:r w:rsidRPr="009D1D1D">
        <w:t xml:space="preserve">give of their specific expertise generously to the </w:t>
      </w:r>
      <w:r w:rsidR="00DD305B">
        <w:t>Company</w:t>
      </w:r>
      <w:r w:rsidRPr="009D1D1D">
        <w:t>; and</w:t>
      </w:r>
    </w:p>
    <w:p w14:paraId="111981DF" w14:textId="77777777" w:rsidR="009D1D1D" w:rsidRPr="009D1D1D" w:rsidRDefault="009D1D1D" w:rsidP="009D1D1D">
      <w:pPr>
        <w:pStyle w:val="Bullet1"/>
      </w:pPr>
      <w:r w:rsidRPr="009D1D1D">
        <w:t xml:space="preserve">comply with the spirit, as well as the letter, of the law and with the principles of this </w:t>
      </w:r>
      <w:r w:rsidR="00DD305B">
        <w:t>Charter</w:t>
      </w:r>
      <w:r w:rsidRPr="009D1D1D">
        <w:t>.</w:t>
      </w:r>
    </w:p>
    <w:p w14:paraId="1A981065" w14:textId="5C0F1685" w:rsidR="009D1D1D" w:rsidRDefault="009D1D1D" w:rsidP="009D1D1D">
      <w:pPr>
        <w:pStyle w:val="Heading1"/>
      </w:pPr>
      <w:bookmarkStart w:id="14" w:name="_Toc126325735"/>
      <w:r>
        <w:t xml:space="preserve">5. The </w:t>
      </w:r>
      <w:r w:rsidR="00E107D9">
        <w:t xml:space="preserve">role </w:t>
      </w:r>
      <w:r>
        <w:t xml:space="preserve">of the </w:t>
      </w:r>
      <w:r w:rsidR="00E30596">
        <w:t>Chair</w:t>
      </w:r>
      <w:bookmarkEnd w:id="14"/>
    </w:p>
    <w:p w14:paraId="56B9B800" w14:textId="4FAD1B95" w:rsidR="009D1D1D" w:rsidRDefault="009D1D1D" w:rsidP="009D1D1D">
      <w:pPr>
        <w:pStyle w:val="NormalText"/>
      </w:pPr>
      <w:r w:rsidRPr="00CD6065">
        <w:t xml:space="preserve">The </w:t>
      </w:r>
      <w:r w:rsidR="00E30596">
        <w:t>Chair</w:t>
      </w:r>
      <w:r w:rsidRPr="00CD6065">
        <w:t xml:space="preserve">’s role is a key one within </w:t>
      </w:r>
      <w:r w:rsidR="0016265B">
        <w:t>STL</w:t>
      </w:r>
      <w:r w:rsidRPr="00CD6065">
        <w:t xml:space="preserve">. The </w:t>
      </w:r>
      <w:r w:rsidR="00E30596">
        <w:t>Chair</w:t>
      </w:r>
      <w:r w:rsidR="00751F64">
        <w:t xml:space="preserve"> is considered the ‘</w:t>
      </w:r>
      <w:r w:rsidRPr="00CD6065">
        <w:t>lead</w:t>
      </w:r>
      <w:r w:rsidR="00751F64">
        <w:t>’</w:t>
      </w:r>
      <w:r w:rsidRPr="00CD6065">
        <w:t xml:space="preserve"> </w:t>
      </w:r>
      <w:r w:rsidR="00DD305B">
        <w:t>Director</w:t>
      </w:r>
      <w:r w:rsidRPr="00CD6065">
        <w:t xml:space="preserve"> and utilises </w:t>
      </w:r>
      <w:r w:rsidR="00D40444">
        <w:t xml:space="preserve">his or her </w:t>
      </w:r>
      <w:r w:rsidRPr="00CD6065">
        <w:t xml:space="preserve">experience, </w:t>
      </w:r>
      <w:proofErr w:type="gramStart"/>
      <w:r w:rsidRPr="00CD6065">
        <w:t>skills</w:t>
      </w:r>
      <w:proofErr w:type="gramEnd"/>
      <w:r w:rsidRPr="00CD6065">
        <w:t xml:space="preserve"> and leadership abilities to facilitate the governance processes.</w:t>
      </w:r>
    </w:p>
    <w:p w14:paraId="2DD4B284" w14:textId="337D255E" w:rsidR="009D1D1D" w:rsidRDefault="009D1D1D" w:rsidP="009D1D1D">
      <w:pPr>
        <w:pStyle w:val="Heading2"/>
      </w:pPr>
      <w:bookmarkStart w:id="15" w:name="_Toc126325736"/>
      <w:r>
        <w:t xml:space="preserve">5.1 Appointment of </w:t>
      </w:r>
      <w:r w:rsidR="00E30596">
        <w:t>Chair</w:t>
      </w:r>
      <w:bookmarkEnd w:id="15"/>
    </w:p>
    <w:p w14:paraId="53D1359D" w14:textId="66424996" w:rsidR="009D1D1D" w:rsidRDefault="009D1D1D" w:rsidP="009D1D1D">
      <w:pPr>
        <w:pStyle w:val="NormalText"/>
      </w:pPr>
      <w:r w:rsidRPr="00CD6065">
        <w:t xml:space="preserve">In accordance with the </w:t>
      </w:r>
      <w:r>
        <w:t>C</w:t>
      </w:r>
      <w:r w:rsidRPr="00CD6065">
        <w:t xml:space="preserve">onstitution, the </w:t>
      </w:r>
      <w:r w:rsidR="00DD305B">
        <w:t>Board</w:t>
      </w:r>
      <w:r>
        <w:t xml:space="preserve"> appoints one </w:t>
      </w:r>
      <w:r w:rsidR="0018041E">
        <w:t>Director</w:t>
      </w:r>
      <w:r>
        <w:t xml:space="preserve"> to be the </w:t>
      </w:r>
      <w:r w:rsidR="00E30596">
        <w:t>Chair</w:t>
      </w:r>
      <w:r>
        <w:t xml:space="preserve"> of the </w:t>
      </w:r>
      <w:r w:rsidR="00DD305B">
        <w:t>Board</w:t>
      </w:r>
      <w:r>
        <w:t xml:space="preserve">. </w:t>
      </w:r>
      <w:r w:rsidRPr="00CD6065">
        <w:t xml:space="preserve">A </w:t>
      </w:r>
      <w:r w:rsidR="00DD305B">
        <w:t>Director</w:t>
      </w:r>
      <w:r w:rsidRPr="00CD6065">
        <w:t xml:space="preserve"> </w:t>
      </w:r>
      <w:r>
        <w:t xml:space="preserve">may </w:t>
      </w:r>
      <w:r w:rsidRPr="00CD6065">
        <w:t xml:space="preserve">also </w:t>
      </w:r>
      <w:r>
        <w:t xml:space="preserve">be appointed as </w:t>
      </w:r>
      <w:r w:rsidRPr="00CD6065">
        <w:t xml:space="preserve">deputy </w:t>
      </w:r>
      <w:r w:rsidR="00E30596">
        <w:t>Chair</w:t>
      </w:r>
      <w:r w:rsidRPr="00CD6065">
        <w:t>.</w:t>
      </w:r>
    </w:p>
    <w:p w14:paraId="1C02A2B3" w14:textId="691A9ABD" w:rsidR="009D1D1D" w:rsidRDefault="009D1D1D" w:rsidP="009D1D1D">
      <w:pPr>
        <w:pStyle w:val="NormalText"/>
      </w:pPr>
      <w:r>
        <w:t xml:space="preserve">The </w:t>
      </w:r>
      <w:r w:rsidR="00DD305B">
        <w:t>Board</w:t>
      </w:r>
      <w:r>
        <w:t xml:space="preserve"> will determine the period for which the </w:t>
      </w:r>
      <w:r w:rsidR="00E30596">
        <w:t>Chair</w:t>
      </w:r>
      <w:r>
        <w:t xml:space="preserve"> will hold office. </w:t>
      </w:r>
    </w:p>
    <w:p w14:paraId="2C287EA0" w14:textId="2711F094" w:rsidR="009D1D1D" w:rsidRPr="00CD6065" w:rsidRDefault="009D1D1D" w:rsidP="009D1D1D">
      <w:pPr>
        <w:pStyle w:val="NormalText"/>
      </w:pPr>
      <w:r w:rsidRPr="00CD6065">
        <w:t xml:space="preserve">The </w:t>
      </w:r>
      <w:r w:rsidR="00E30596">
        <w:t>Chair</w:t>
      </w:r>
      <w:r>
        <w:t xml:space="preserve"> </w:t>
      </w:r>
      <w:r w:rsidRPr="00CD6065">
        <w:t xml:space="preserve">will normally be an independent, non-executive </w:t>
      </w:r>
      <w:r w:rsidR="00DD305B">
        <w:t>Director</w:t>
      </w:r>
      <w:r w:rsidRPr="00CD6065">
        <w:t xml:space="preserve"> who is selected </w:t>
      </w:r>
      <w:proofErr w:type="gramStart"/>
      <w:r w:rsidRPr="00CD6065">
        <w:t>on the basis of</w:t>
      </w:r>
      <w:proofErr w:type="gramEnd"/>
      <w:r w:rsidRPr="00CD6065">
        <w:t xml:space="preserve"> the person’s achievements and his or her record as a leader.</w:t>
      </w:r>
    </w:p>
    <w:p w14:paraId="288E928C" w14:textId="623CA294" w:rsidR="009D1D1D" w:rsidRDefault="009D1D1D" w:rsidP="009D1D1D">
      <w:pPr>
        <w:pStyle w:val="Heading1"/>
      </w:pPr>
      <w:bookmarkStart w:id="16" w:name="_Toc126325737"/>
      <w:r>
        <w:t xml:space="preserve">6. The </w:t>
      </w:r>
      <w:r w:rsidR="00E107D9">
        <w:t xml:space="preserve">role </w:t>
      </w:r>
      <w:r>
        <w:t xml:space="preserve">of the </w:t>
      </w:r>
      <w:r w:rsidR="00DD305B">
        <w:t>Company</w:t>
      </w:r>
      <w:r>
        <w:t xml:space="preserve"> </w:t>
      </w:r>
      <w:r w:rsidR="00CA6E00">
        <w:t>Secretary</w:t>
      </w:r>
      <w:bookmarkEnd w:id="16"/>
    </w:p>
    <w:p w14:paraId="0098D736" w14:textId="77777777" w:rsidR="009D1D1D" w:rsidRPr="00CD6065" w:rsidRDefault="009D1D1D" w:rsidP="009D1D1D">
      <w:pPr>
        <w:pStyle w:val="NormalText"/>
      </w:pPr>
      <w:r w:rsidRPr="00CD6065">
        <w:t xml:space="preserve">The </w:t>
      </w:r>
      <w:r w:rsidR="00DD305B">
        <w:t>Company</w:t>
      </w:r>
      <w:r w:rsidRPr="00CD6065">
        <w:t xml:space="preserve"> </w:t>
      </w:r>
      <w:r w:rsidR="00CA6E00">
        <w:t>Secretary</w:t>
      </w:r>
      <w:r w:rsidRPr="00CD6065">
        <w:t xml:space="preserve"> is accountable to the </w:t>
      </w:r>
      <w:r w:rsidR="00DD305B">
        <w:t>Board</w:t>
      </w:r>
      <w:r w:rsidRPr="00CD6065">
        <w:t xml:space="preserve">. </w:t>
      </w:r>
    </w:p>
    <w:p w14:paraId="0284D7A3" w14:textId="77777777" w:rsidR="009D1D1D" w:rsidRDefault="009D1D1D" w:rsidP="009D1D1D">
      <w:pPr>
        <w:pStyle w:val="NormalText"/>
      </w:pPr>
      <w:r w:rsidRPr="00CD6065">
        <w:t xml:space="preserve">The </w:t>
      </w:r>
      <w:r w:rsidR="00DD305B">
        <w:t>Company</w:t>
      </w:r>
      <w:r w:rsidRPr="00CD6065">
        <w:t xml:space="preserve"> </w:t>
      </w:r>
      <w:r w:rsidR="00CA6E00">
        <w:t>Secretary</w:t>
      </w:r>
      <w:r w:rsidRPr="00CD6065">
        <w:t xml:space="preserve"> facilitates the </w:t>
      </w:r>
      <w:r w:rsidR="00DD305B">
        <w:t>Company</w:t>
      </w:r>
      <w:r w:rsidRPr="00CD6065">
        <w:t xml:space="preserve">’s corporate governance processes and is </w:t>
      </w:r>
      <w:r w:rsidRPr="00CD6065">
        <w:lastRenderedPageBreak/>
        <w:t xml:space="preserve">responsible for the coordination of </w:t>
      </w:r>
      <w:r w:rsidR="00DD305B">
        <w:t>Board</w:t>
      </w:r>
      <w:r w:rsidRPr="00CD6065">
        <w:t xml:space="preserve"> meetings, including agendas, </w:t>
      </w:r>
      <w:r w:rsidR="00DD305B">
        <w:t>Board</w:t>
      </w:r>
      <w:r w:rsidRPr="00CD6065">
        <w:t xml:space="preserve"> papers and minu</w:t>
      </w:r>
      <w:r>
        <w:t>tes, for communication with</w:t>
      </w:r>
      <w:r w:rsidRPr="00CD6065">
        <w:t xml:space="preserve"> regulatory bodies, and for all statutory and other filings.</w:t>
      </w:r>
    </w:p>
    <w:p w14:paraId="3D51315A" w14:textId="44ED6D85" w:rsidR="009D1D1D" w:rsidRDefault="009D1D1D" w:rsidP="009D1D1D">
      <w:pPr>
        <w:pStyle w:val="Heading1"/>
      </w:pPr>
      <w:bookmarkStart w:id="17" w:name="_Toc126325738"/>
      <w:r>
        <w:t xml:space="preserve">7. The </w:t>
      </w:r>
      <w:r w:rsidR="00E107D9">
        <w:t xml:space="preserve">role </w:t>
      </w:r>
      <w:r>
        <w:t xml:space="preserve">of the </w:t>
      </w:r>
      <w:r w:rsidR="002D77F7">
        <w:t>CEO</w:t>
      </w:r>
      <w:bookmarkEnd w:id="17"/>
    </w:p>
    <w:p w14:paraId="6EDF2451" w14:textId="191D8F2B" w:rsidR="009D1D1D" w:rsidRPr="009853B9" w:rsidRDefault="009D1D1D" w:rsidP="009853B9">
      <w:pPr>
        <w:pStyle w:val="NormalText"/>
      </w:pPr>
      <w:r w:rsidRPr="009853B9">
        <w:t xml:space="preserve">The </w:t>
      </w:r>
      <w:r w:rsidR="002D77F7" w:rsidRPr="009853B9">
        <w:t>CEO</w:t>
      </w:r>
      <w:r w:rsidRPr="009853B9">
        <w:t xml:space="preserve"> is appointed by the </w:t>
      </w:r>
      <w:r w:rsidR="00DD305B">
        <w:t>Board</w:t>
      </w:r>
      <w:r w:rsidRPr="009853B9">
        <w:t xml:space="preserve"> and holds office until </w:t>
      </w:r>
      <w:r w:rsidR="00D14022">
        <w:t xml:space="preserve">his or her </w:t>
      </w:r>
      <w:r w:rsidRPr="009853B9">
        <w:t xml:space="preserve">removal, </w:t>
      </w:r>
      <w:proofErr w:type="gramStart"/>
      <w:r w:rsidRPr="009853B9">
        <w:t>resignation</w:t>
      </w:r>
      <w:proofErr w:type="gramEnd"/>
      <w:r w:rsidRPr="009853B9">
        <w:t xml:space="preserve"> or retirement.</w:t>
      </w:r>
    </w:p>
    <w:p w14:paraId="0181281F" w14:textId="5F34E2D6" w:rsidR="009D1D1D" w:rsidRPr="009853B9" w:rsidRDefault="009D1D1D" w:rsidP="009853B9">
      <w:pPr>
        <w:pStyle w:val="NormalText"/>
      </w:pPr>
      <w:r w:rsidRPr="009853B9">
        <w:t xml:space="preserve">The </w:t>
      </w:r>
      <w:r w:rsidR="002D77F7" w:rsidRPr="009853B9">
        <w:t>CEO</w:t>
      </w:r>
      <w:r w:rsidRPr="009853B9">
        <w:t xml:space="preserve"> is responsible for the attainment of the </w:t>
      </w:r>
      <w:r w:rsidR="00DD305B">
        <w:t>Company</w:t>
      </w:r>
      <w:r w:rsidRPr="009853B9">
        <w:t xml:space="preserve">’s </w:t>
      </w:r>
      <w:r w:rsidR="007C3961">
        <w:t>purpose and adhering to the Company’s values</w:t>
      </w:r>
      <w:r w:rsidRPr="009853B9">
        <w:t xml:space="preserve">, in accordance with the strategies, policies, programs and performance requirements approved by the </w:t>
      </w:r>
      <w:r w:rsidR="00DD305B">
        <w:t>Board</w:t>
      </w:r>
      <w:r w:rsidRPr="009853B9">
        <w:t xml:space="preserve">. The </w:t>
      </w:r>
      <w:r w:rsidR="002D77F7" w:rsidRPr="009853B9">
        <w:t>CEO</w:t>
      </w:r>
      <w:r w:rsidRPr="009853B9">
        <w:t xml:space="preserve"> reports directly to the </w:t>
      </w:r>
      <w:r w:rsidR="00DD305B">
        <w:t>Board</w:t>
      </w:r>
      <w:r w:rsidRPr="009853B9">
        <w:t>.</w:t>
      </w:r>
    </w:p>
    <w:p w14:paraId="52ECE7EE" w14:textId="77777777" w:rsidR="009D1D1D" w:rsidRPr="009853B9" w:rsidRDefault="009D1D1D" w:rsidP="009853B9">
      <w:pPr>
        <w:pStyle w:val="NormalText"/>
      </w:pPr>
      <w:r w:rsidRPr="009853B9">
        <w:t xml:space="preserve">The </w:t>
      </w:r>
      <w:r w:rsidR="002D77F7" w:rsidRPr="009853B9">
        <w:t>CEO</w:t>
      </w:r>
      <w:r w:rsidRPr="009853B9">
        <w:t xml:space="preserve">’s performance is assessed annually </w:t>
      </w:r>
      <w:proofErr w:type="gramStart"/>
      <w:r w:rsidRPr="009853B9">
        <w:t>in light of</w:t>
      </w:r>
      <w:proofErr w:type="gramEnd"/>
      <w:r w:rsidRPr="009853B9">
        <w:t xml:space="preserve"> the achievement of goals, targets and other key performance indicators as determined by the </w:t>
      </w:r>
      <w:r w:rsidR="00DD305B">
        <w:t>Board</w:t>
      </w:r>
      <w:r w:rsidRPr="009853B9">
        <w:t>.</w:t>
      </w:r>
    </w:p>
    <w:p w14:paraId="658A77EA" w14:textId="220F74CB" w:rsidR="009D1D1D" w:rsidRPr="009853B9" w:rsidRDefault="009D1D1D" w:rsidP="009853B9">
      <w:pPr>
        <w:pStyle w:val="NormalText"/>
      </w:pPr>
      <w:r w:rsidRPr="009853B9">
        <w:t xml:space="preserve">Subject to ratification by the </w:t>
      </w:r>
      <w:r w:rsidR="00DD305B">
        <w:t>Board</w:t>
      </w:r>
      <w:r w:rsidRPr="009853B9">
        <w:t xml:space="preserve">, the </w:t>
      </w:r>
      <w:r w:rsidR="002D77F7" w:rsidRPr="009853B9">
        <w:t>CEO</w:t>
      </w:r>
      <w:r w:rsidR="009853B9">
        <w:t xml:space="preserve"> is </w:t>
      </w:r>
      <w:r w:rsidRPr="009853B9">
        <w:t>responsible for appointing</w:t>
      </w:r>
      <w:r w:rsidR="0018041E">
        <w:t xml:space="preserve"> and dismissing</w:t>
      </w:r>
      <w:r w:rsidR="0018041E" w:rsidRPr="0018041E">
        <w:t xml:space="preserve"> </w:t>
      </w:r>
      <w:r w:rsidR="0018041E" w:rsidRPr="009853B9">
        <w:t>his or her direct reports</w:t>
      </w:r>
      <w:r w:rsidRPr="009853B9">
        <w:t xml:space="preserve">, </w:t>
      </w:r>
      <w:r w:rsidR="0018041E">
        <w:t xml:space="preserve">as well as overseeing </w:t>
      </w:r>
      <w:r w:rsidRPr="009853B9">
        <w:t xml:space="preserve">changes to remuneration arrangements, performance targets, </w:t>
      </w:r>
      <w:r w:rsidR="0018041E">
        <w:t>and performance assessments of those direct reports.</w:t>
      </w:r>
      <w:r w:rsidRPr="009853B9">
        <w:t xml:space="preserve"> </w:t>
      </w:r>
    </w:p>
    <w:p w14:paraId="0C274B3D" w14:textId="6B028D82" w:rsidR="009D1D1D" w:rsidRDefault="009D1D1D" w:rsidP="009D1D1D">
      <w:pPr>
        <w:pStyle w:val="Heading1"/>
        <w:ind w:left="426" w:hanging="426"/>
      </w:pPr>
      <w:bookmarkStart w:id="18" w:name="_Toc126325739"/>
      <w:r>
        <w:t xml:space="preserve">8. Compliance, </w:t>
      </w:r>
      <w:r w:rsidR="00E107D9">
        <w:t xml:space="preserve">risk management </w:t>
      </w:r>
      <w:r>
        <w:t xml:space="preserve">and </w:t>
      </w:r>
      <w:r w:rsidR="00E107D9">
        <w:t>internal controls</w:t>
      </w:r>
      <w:bookmarkEnd w:id="18"/>
    </w:p>
    <w:p w14:paraId="5A7E26F8" w14:textId="77777777" w:rsidR="009D1D1D" w:rsidRDefault="009D1D1D" w:rsidP="009D1D1D">
      <w:pPr>
        <w:pStyle w:val="Heading2"/>
      </w:pPr>
      <w:bookmarkStart w:id="19" w:name="_Toc126325740"/>
      <w:r>
        <w:t>8.1 Compliance</w:t>
      </w:r>
      <w:bookmarkEnd w:id="19"/>
    </w:p>
    <w:p w14:paraId="34A9E0B2" w14:textId="77777777" w:rsidR="009D1D1D" w:rsidRDefault="009D1D1D" w:rsidP="009D1D1D">
      <w:pPr>
        <w:pStyle w:val="NormalText"/>
      </w:pPr>
      <w:r w:rsidRPr="00CD6065">
        <w:t xml:space="preserve">The </w:t>
      </w:r>
      <w:r w:rsidR="00DD305B">
        <w:t>Board</w:t>
      </w:r>
      <w:r w:rsidRPr="00CD6065">
        <w:t xml:space="preserve"> is charged with overseeing, </w:t>
      </w:r>
      <w:proofErr w:type="gramStart"/>
      <w:r w:rsidRPr="00CD6065">
        <w:t>reviewing</w:t>
      </w:r>
      <w:proofErr w:type="gramEnd"/>
      <w:r w:rsidRPr="00CD6065">
        <w:t xml:space="preserve"> and ensuring the reliability and effectiveness of </w:t>
      </w:r>
      <w:r w:rsidR="00F8779B">
        <w:t>STL</w:t>
      </w:r>
      <w:r>
        <w:t xml:space="preserve">’s </w:t>
      </w:r>
      <w:r w:rsidRPr="00CD6065">
        <w:t xml:space="preserve">compliance systems. As such, compliance is a quality control system that is part of a proactive risk management strategy. </w:t>
      </w:r>
    </w:p>
    <w:p w14:paraId="741DD604" w14:textId="77777777" w:rsidR="009D1D1D" w:rsidRDefault="009D1D1D" w:rsidP="009D1D1D">
      <w:pPr>
        <w:pStyle w:val="NormalText"/>
      </w:pPr>
      <w:r w:rsidRPr="00CD6065">
        <w:t xml:space="preserve">The </w:t>
      </w:r>
      <w:r>
        <w:t>compliance</w:t>
      </w:r>
      <w:r w:rsidRPr="00CD6065">
        <w:t xml:space="preserve"> management system at </w:t>
      </w:r>
      <w:r w:rsidR="0016265B">
        <w:t>STL</w:t>
      </w:r>
      <w:r w:rsidRPr="00CD6065">
        <w:t xml:space="preserve"> is based the Australian Standard, AS/NZS ISO </w:t>
      </w:r>
      <w:r>
        <w:t>19600 Compliance Management Systems - Guidelines.</w:t>
      </w:r>
    </w:p>
    <w:p w14:paraId="37A850FD" w14:textId="77777777" w:rsidR="009D1D1D" w:rsidRPr="00CD6065" w:rsidRDefault="009D1D1D" w:rsidP="009D1D1D">
      <w:pPr>
        <w:pStyle w:val="NormalText"/>
      </w:pPr>
      <w:r w:rsidRPr="00CD6065">
        <w:t xml:space="preserve">To carry out its compliance function, the </w:t>
      </w:r>
      <w:r w:rsidR="00DD305B">
        <w:t>Board</w:t>
      </w:r>
      <w:r w:rsidRPr="00CD6065">
        <w:t xml:space="preserve"> commits to the following:</w:t>
      </w:r>
    </w:p>
    <w:p w14:paraId="4F37C55D" w14:textId="2AD8415D" w:rsidR="009D1D1D" w:rsidRPr="00CD6065" w:rsidRDefault="009D1D1D" w:rsidP="009D1D1D">
      <w:pPr>
        <w:pStyle w:val="Bullet1"/>
      </w:pPr>
      <w:r w:rsidRPr="00CD6065">
        <w:t xml:space="preserve">The </w:t>
      </w:r>
      <w:r w:rsidR="007267E8">
        <w:t xml:space="preserve">Safety, </w:t>
      </w:r>
      <w:r w:rsidR="005132FA">
        <w:t xml:space="preserve">Risk &amp; </w:t>
      </w:r>
      <w:r w:rsidR="00D90886">
        <w:t>Sustainability Committee</w:t>
      </w:r>
      <w:r w:rsidRPr="00CD6065">
        <w:t xml:space="preserve"> is responsible for overseeing </w:t>
      </w:r>
      <w:r w:rsidR="00F8779B">
        <w:t>STL</w:t>
      </w:r>
      <w:r>
        <w:t>’s</w:t>
      </w:r>
      <w:r w:rsidRPr="00CD6065">
        <w:t xml:space="preserve"> compliance systems and reporting to the </w:t>
      </w:r>
      <w:r w:rsidR="00DD305B">
        <w:t>Board</w:t>
      </w:r>
      <w:r w:rsidRPr="00CD6065">
        <w:t xml:space="preserve"> on those systems.</w:t>
      </w:r>
    </w:p>
    <w:p w14:paraId="0A7FE68D" w14:textId="0E18F1D4" w:rsidR="00EA33D7" w:rsidRPr="00EA33D7" w:rsidRDefault="009D1D1D" w:rsidP="00EA33D7">
      <w:pPr>
        <w:pStyle w:val="Bullet1"/>
      </w:pPr>
      <w:r w:rsidRPr="00CD6065">
        <w:t xml:space="preserve">A Code of Conduct for the </w:t>
      </w:r>
      <w:r w:rsidR="00DD305B">
        <w:t>Company</w:t>
      </w:r>
      <w:r w:rsidRPr="00CD6065">
        <w:t xml:space="preserve"> ensures the highest of ethical standards and business behaviours are maintained</w:t>
      </w:r>
      <w:r w:rsidR="00EA33D7">
        <w:t xml:space="preserve">, including establishing effective </w:t>
      </w:r>
      <w:r w:rsidR="00EA33D7" w:rsidRPr="00EA33D7">
        <w:t>systems and controls to ensure modern slavery is not taking place in STL’s operations or in the supply chains that support it.</w:t>
      </w:r>
    </w:p>
    <w:p w14:paraId="476F239E" w14:textId="77777777" w:rsidR="009D1D1D" w:rsidRPr="00CD6065" w:rsidRDefault="009D1D1D" w:rsidP="009D1D1D">
      <w:pPr>
        <w:pStyle w:val="Bullet1"/>
      </w:pPr>
      <w:r w:rsidRPr="00CD6065">
        <w:t xml:space="preserve">The </w:t>
      </w:r>
      <w:r w:rsidR="00DD305B">
        <w:t>Board</w:t>
      </w:r>
      <w:r w:rsidRPr="00CD6065">
        <w:t xml:space="preserve"> complies with its reporting </w:t>
      </w:r>
      <w:r>
        <w:t xml:space="preserve">and disclosure requirements under the NSX Listing rules. </w:t>
      </w:r>
    </w:p>
    <w:p w14:paraId="0DB6376C" w14:textId="77777777" w:rsidR="009D1D1D" w:rsidRDefault="009D1D1D" w:rsidP="009D1D1D">
      <w:pPr>
        <w:pStyle w:val="NormalText"/>
      </w:pPr>
      <w:r w:rsidRPr="00CD6065">
        <w:t xml:space="preserve">The </w:t>
      </w:r>
      <w:r w:rsidR="00DD305B">
        <w:t>Board</w:t>
      </w:r>
      <w:r w:rsidRPr="00CD6065">
        <w:t xml:space="preserve"> views compliance as an integral function and recognises that for the compliance system to succeed</w:t>
      </w:r>
      <w:r>
        <w:t>,</w:t>
      </w:r>
      <w:r w:rsidRPr="00CD6065">
        <w:t xml:space="preserve"> it must be championed by the </w:t>
      </w:r>
      <w:r w:rsidR="00DD305B">
        <w:t>Board</w:t>
      </w:r>
      <w:r w:rsidRPr="00CD6065">
        <w:t xml:space="preserve"> along with management.</w:t>
      </w:r>
    </w:p>
    <w:p w14:paraId="2278E79A" w14:textId="4F1DC500" w:rsidR="009D1D1D" w:rsidRPr="009D1D1D" w:rsidRDefault="009D1D1D" w:rsidP="009D1D1D">
      <w:pPr>
        <w:pStyle w:val="Heading2"/>
      </w:pPr>
      <w:bookmarkStart w:id="20" w:name="_Toc126325741"/>
      <w:r>
        <w:lastRenderedPageBreak/>
        <w:t xml:space="preserve">8.2 Risk </w:t>
      </w:r>
      <w:r w:rsidR="00E107D9">
        <w:t>management</w:t>
      </w:r>
      <w:bookmarkEnd w:id="20"/>
    </w:p>
    <w:p w14:paraId="1359CFB9" w14:textId="77777777" w:rsidR="00F8779B" w:rsidRDefault="00F8779B" w:rsidP="009D1D1D">
      <w:pPr>
        <w:pStyle w:val="NormalText"/>
      </w:pPr>
      <w:r>
        <w:t>R</w:t>
      </w:r>
      <w:r w:rsidR="009D1D1D" w:rsidRPr="00CD6065">
        <w:t xml:space="preserve">isk management is a critical component of </w:t>
      </w:r>
      <w:r w:rsidR="0016265B">
        <w:t>STL</w:t>
      </w:r>
      <w:r w:rsidR="009D1D1D" w:rsidRPr="00CD6065">
        <w:t xml:space="preserve"> governance</w:t>
      </w:r>
      <w:r>
        <w:t>.</w:t>
      </w:r>
    </w:p>
    <w:p w14:paraId="77829856" w14:textId="77777777" w:rsidR="009D1D1D" w:rsidRPr="00CD6065" w:rsidRDefault="009D1D1D" w:rsidP="009D1D1D">
      <w:pPr>
        <w:pStyle w:val="NormalText"/>
      </w:pPr>
      <w:r w:rsidRPr="00CD6065">
        <w:t xml:space="preserve">The risk management system at </w:t>
      </w:r>
      <w:r w:rsidR="0016265B">
        <w:t>STL</w:t>
      </w:r>
      <w:r w:rsidRPr="00CD6065">
        <w:t xml:space="preserve"> is based the Australian Standard, AS/NZS ISO 31000</w:t>
      </w:r>
      <w:r>
        <w:t xml:space="preserve"> Risk Management – Principles and Guidelines</w:t>
      </w:r>
      <w:r w:rsidRPr="00CD6065">
        <w:t>. The primary objectives of the system are to ensure:</w:t>
      </w:r>
    </w:p>
    <w:p w14:paraId="681B1AEB" w14:textId="7EF55CF4" w:rsidR="009D1D1D" w:rsidRPr="00CD6065" w:rsidRDefault="009D1D1D" w:rsidP="009D1D1D">
      <w:pPr>
        <w:pStyle w:val="Bullet1"/>
      </w:pPr>
      <w:r w:rsidRPr="00CD6065">
        <w:t xml:space="preserve">All major sources of harm to </w:t>
      </w:r>
      <w:r w:rsidR="0016265B">
        <w:t>STL</w:t>
      </w:r>
      <w:r w:rsidRPr="00CD6065">
        <w:t xml:space="preserve"> (both existing and potential) are identified, </w:t>
      </w:r>
      <w:proofErr w:type="gramStart"/>
      <w:r w:rsidRPr="00CD6065">
        <w:t>analysed</w:t>
      </w:r>
      <w:proofErr w:type="gramEnd"/>
      <w:r w:rsidRPr="00CD6065">
        <w:t xml:space="preserve"> and treated appropriately</w:t>
      </w:r>
      <w:r>
        <w:t>.</w:t>
      </w:r>
    </w:p>
    <w:p w14:paraId="72E496FD" w14:textId="77777777" w:rsidR="009D1D1D" w:rsidRPr="00CD6065" w:rsidRDefault="009D1D1D" w:rsidP="009D1D1D">
      <w:pPr>
        <w:pStyle w:val="Bullet1"/>
      </w:pPr>
      <w:r w:rsidRPr="00CD6065">
        <w:t xml:space="preserve">Business decisions throughout </w:t>
      </w:r>
      <w:r w:rsidR="0016265B">
        <w:t>STL</w:t>
      </w:r>
      <w:r w:rsidRPr="00CD6065">
        <w:t xml:space="preserve"> appropriately balance the risk and reward trade-off</w:t>
      </w:r>
      <w:r>
        <w:t>.</w:t>
      </w:r>
    </w:p>
    <w:p w14:paraId="46815E26" w14:textId="77777777" w:rsidR="009D1D1D" w:rsidRPr="00CD6065" w:rsidRDefault="009D1D1D" w:rsidP="009D1D1D">
      <w:pPr>
        <w:pStyle w:val="Bullet1"/>
      </w:pPr>
      <w:r w:rsidRPr="00CD6065">
        <w:t>Regulatory compliance and accuracy in reporting are achieved</w:t>
      </w:r>
      <w:r>
        <w:t>.</w:t>
      </w:r>
    </w:p>
    <w:p w14:paraId="6C05A38E" w14:textId="77777777" w:rsidR="009D1D1D" w:rsidRDefault="009D1D1D" w:rsidP="009D1D1D">
      <w:pPr>
        <w:pStyle w:val="Bullet1"/>
      </w:pPr>
      <w:r w:rsidRPr="00CD6065">
        <w:t xml:space="preserve">The </w:t>
      </w:r>
      <w:r w:rsidR="00DD305B">
        <w:t>Board</w:t>
      </w:r>
      <w:r w:rsidR="00D40444">
        <w:t xml:space="preserve"> and management determine and monitor </w:t>
      </w:r>
      <w:r w:rsidRPr="00CD6065">
        <w:t xml:space="preserve">the risk profile of </w:t>
      </w:r>
      <w:r w:rsidR="0016265B">
        <w:t>STL</w:t>
      </w:r>
      <w:r w:rsidRPr="00CD6065">
        <w:t>.</w:t>
      </w:r>
    </w:p>
    <w:p w14:paraId="2F6070EE" w14:textId="77777777" w:rsidR="009D1D1D" w:rsidRDefault="009D1D1D" w:rsidP="009D1D1D">
      <w:pPr>
        <w:pStyle w:val="NormalText"/>
      </w:pPr>
      <w:r w:rsidRPr="00CD6065">
        <w:t xml:space="preserve">The </w:t>
      </w:r>
      <w:r w:rsidR="00DD305B">
        <w:t>Company</w:t>
      </w:r>
      <w:r w:rsidRPr="00CD6065">
        <w:t xml:space="preserve"> undertakes an annual review of strategy and operations to update its risk profile in line with the risk appetite set by the </w:t>
      </w:r>
      <w:r w:rsidR="00DD305B">
        <w:t>Board</w:t>
      </w:r>
      <w:r w:rsidRPr="00CD6065">
        <w:t xml:space="preserve"> in conjunction with management.</w:t>
      </w:r>
    </w:p>
    <w:p w14:paraId="21D91522" w14:textId="73090D71" w:rsidR="00F8779B" w:rsidRPr="00CD6065" w:rsidRDefault="00F8779B" w:rsidP="00F8779B">
      <w:pPr>
        <w:pStyle w:val="NormalText"/>
      </w:pPr>
      <w:r>
        <w:t>T</w:t>
      </w:r>
      <w:r w:rsidRPr="00CD6065">
        <w:t xml:space="preserve">he </w:t>
      </w:r>
      <w:r>
        <w:t>Board</w:t>
      </w:r>
      <w:r w:rsidRPr="00CD6065">
        <w:t xml:space="preserve"> has established </w:t>
      </w:r>
      <w:r>
        <w:t xml:space="preserve">the Safety, </w:t>
      </w:r>
      <w:r w:rsidR="00BD7976">
        <w:t xml:space="preserve">Risk &amp; </w:t>
      </w:r>
      <w:r w:rsidR="00D90886">
        <w:t>Sustainability Committee</w:t>
      </w:r>
      <w:r w:rsidR="00B6133F">
        <w:t xml:space="preserve"> to oversee and guide </w:t>
      </w:r>
      <w:r w:rsidR="00C23239">
        <w:t>risk management within STL</w:t>
      </w:r>
      <w:r w:rsidRPr="00CD6065">
        <w:t xml:space="preserve">. The </w:t>
      </w:r>
      <w:r>
        <w:t>CEO</w:t>
      </w:r>
      <w:r w:rsidRPr="00CD6065">
        <w:t xml:space="preserve"> is charged with implementing appropriate risk management systems. Aspects of this process may be delegated. </w:t>
      </w:r>
    </w:p>
    <w:p w14:paraId="200C7572" w14:textId="3FC83BC1" w:rsidR="009D1D1D" w:rsidRDefault="009D1D1D" w:rsidP="009D1D1D">
      <w:pPr>
        <w:pStyle w:val="Heading2"/>
      </w:pPr>
      <w:bookmarkStart w:id="21" w:name="_Toc126325742"/>
      <w:r>
        <w:t xml:space="preserve">8.3 Internal </w:t>
      </w:r>
      <w:r w:rsidR="00E107D9">
        <w:t>controls</w:t>
      </w:r>
      <w:bookmarkEnd w:id="21"/>
    </w:p>
    <w:p w14:paraId="190263D1" w14:textId="77777777" w:rsidR="009D1D1D" w:rsidRPr="00CD6065" w:rsidRDefault="009D1D1D" w:rsidP="009D1D1D">
      <w:pPr>
        <w:pStyle w:val="NormalText"/>
      </w:pPr>
      <w:r w:rsidRPr="00CD6065">
        <w:t xml:space="preserve">The </w:t>
      </w:r>
      <w:r w:rsidR="00DD305B">
        <w:t>Board</w:t>
      </w:r>
      <w:r w:rsidRPr="00CD6065">
        <w:t xml:space="preserve"> has a process for review and authorisation to ensure the truthful and factual representation of the </w:t>
      </w:r>
      <w:r w:rsidR="00DD305B">
        <w:t>Company</w:t>
      </w:r>
      <w:r w:rsidRPr="00CD6065">
        <w:t>’s financial position and adherence to policies and procedures. This process includes:</w:t>
      </w:r>
    </w:p>
    <w:p w14:paraId="0BBC14C2" w14:textId="77777777" w:rsidR="009D1D1D" w:rsidRPr="00CD6065" w:rsidRDefault="009D1D1D" w:rsidP="009D1D1D">
      <w:pPr>
        <w:pStyle w:val="Bullet1"/>
      </w:pPr>
      <w:r w:rsidRPr="00CD6065">
        <w:t>External audit;</w:t>
      </w:r>
      <w:r w:rsidR="009853B9">
        <w:t xml:space="preserve"> and</w:t>
      </w:r>
    </w:p>
    <w:p w14:paraId="4975030F" w14:textId="77777777" w:rsidR="009D1D1D" w:rsidRPr="00CD6065" w:rsidRDefault="009D1D1D" w:rsidP="009D1D1D">
      <w:pPr>
        <w:pStyle w:val="Bullet1"/>
      </w:pPr>
      <w:r w:rsidRPr="00CD6065">
        <w:t xml:space="preserve">Review of the </w:t>
      </w:r>
      <w:r w:rsidR="00DD305B">
        <w:t>Company</w:t>
      </w:r>
      <w:r w:rsidRPr="00CD6065">
        <w:t xml:space="preserve">’s annual financial statements by </w:t>
      </w:r>
      <w:r>
        <w:t xml:space="preserve">the </w:t>
      </w:r>
      <w:r w:rsidR="00B456A0">
        <w:t>Finance &amp; Audit</w:t>
      </w:r>
      <w:r w:rsidR="007F3096">
        <w:t xml:space="preserve"> </w:t>
      </w:r>
      <w:r w:rsidR="00DD305B">
        <w:t>Committee</w:t>
      </w:r>
      <w:r w:rsidRPr="00CD6065">
        <w:t>.</w:t>
      </w:r>
    </w:p>
    <w:p w14:paraId="29033336" w14:textId="626DF5FF" w:rsidR="009D1D1D" w:rsidRDefault="009D1D1D" w:rsidP="009D1D1D">
      <w:pPr>
        <w:pStyle w:val="NormalText"/>
      </w:pPr>
      <w:r w:rsidRPr="00CD6065">
        <w:t xml:space="preserve">The </w:t>
      </w:r>
      <w:r w:rsidR="00DD305B">
        <w:t>Board</w:t>
      </w:r>
      <w:r w:rsidRPr="00CD6065">
        <w:t xml:space="preserve"> is responsible for recommending the appointment of a qualified external auditor, with appropriate skills, </w:t>
      </w:r>
      <w:proofErr w:type="gramStart"/>
      <w:r w:rsidRPr="00CD6065">
        <w:t>knowledge</w:t>
      </w:r>
      <w:proofErr w:type="gramEnd"/>
      <w:r w:rsidRPr="00CD6065">
        <w:t xml:space="preserve"> and experience</w:t>
      </w:r>
      <w:r w:rsidR="00051148">
        <w:t>. This</w:t>
      </w:r>
      <w:r w:rsidRPr="00CD6065">
        <w:t xml:space="preserve"> is subject to members’ approval at the </w:t>
      </w:r>
      <w:r w:rsidR="00DD305B">
        <w:t>Company</w:t>
      </w:r>
      <w:r w:rsidRPr="00CD6065">
        <w:t>’s annual general meeting.</w:t>
      </w:r>
    </w:p>
    <w:p w14:paraId="7AD07382" w14:textId="77777777" w:rsidR="009D1D1D" w:rsidRPr="00CD6065" w:rsidRDefault="009D1D1D" w:rsidP="009D1D1D">
      <w:pPr>
        <w:pStyle w:val="NormalText"/>
      </w:pPr>
      <w:r w:rsidRPr="00CD6065">
        <w:t xml:space="preserve">The </w:t>
      </w:r>
      <w:r w:rsidR="002D77F7">
        <w:t>CEO</w:t>
      </w:r>
      <w:r w:rsidRPr="00CD6065">
        <w:t xml:space="preserve"> and </w:t>
      </w:r>
      <w:r w:rsidR="00051148">
        <w:t>Chief Financial Officer (</w:t>
      </w:r>
      <w:r w:rsidRPr="00CD6065">
        <w:t>CFO</w:t>
      </w:r>
      <w:r w:rsidR="00051148">
        <w:t>)</w:t>
      </w:r>
      <w:r w:rsidRPr="00CD6065">
        <w:t xml:space="preserve"> each provide a statement to the </w:t>
      </w:r>
      <w:r w:rsidR="00DD305B">
        <w:t>Board</w:t>
      </w:r>
      <w:r w:rsidRPr="00CD6065">
        <w:t xml:space="preserve"> with the half yearly and annual financial report to the effect that the </w:t>
      </w:r>
      <w:r w:rsidR="00DD305B">
        <w:t>Company</w:t>
      </w:r>
      <w:r w:rsidRPr="00CD6065">
        <w:t>’s risk management and internal compliance and control system is operating efficiently and effectively in all material respects</w:t>
      </w:r>
      <w:r w:rsidR="001B6793">
        <w:t xml:space="preserve">. </w:t>
      </w:r>
    </w:p>
    <w:p w14:paraId="29EC3AB7" w14:textId="2F831346" w:rsidR="009D1D1D" w:rsidRDefault="009D1D1D" w:rsidP="009D1D1D">
      <w:pPr>
        <w:pStyle w:val="Heading1"/>
      </w:pPr>
      <w:bookmarkStart w:id="22" w:name="_Toc126325743"/>
      <w:r>
        <w:t xml:space="preserve">9. </w:t>
      </w:r>
      <w:r w:rsidR="00DD305B">
        <w:t>Board</w:t>
      </w:r>
      <w:r>
        <w:t xml:space="preserve"> </w:t>
      </w:r>
      <w:r w:rsidR="00E107D9">
        <w:t>meetings</w:t>
      </w:r>
      <w:bookmarkEnd w:id="22"/>
    </w:p>
    <w:p w14:paraId="669534F4" w14:textId="2426E0DE" w:rsidR="009D1D1D" w:rsidRDefault="009D1D1D" w:rsidP="009D1D1D">
      <w:pPr>
        <w:pStyle w:val="NormalText"/>
      </w:pPr>
      <w:r w:rsidRPr="00F13B10">
        <w:t xml:space="preserve">The </w:t>
      </w:r>
      <w:r w:rsidR="00DD305B">
        <w:t>Board</w:t>
      </w:r>
      <w:r w:rsidRPr="00F13B10">
        <w:t xml:space="preserve"> will normally meet </w:t>
      </w:r>
      <w:r w:rsidR="00D40444" w:rsidRPr="00F13B10">
        <w:t>six</w:t>
      </w:r>
      <w:r>
        <w:t xml:space="preserve"> </w:t>
      </w:r>
      <w:r w:rsidR="007267E8">
        <w:t>to</w:t>
      </w:r>
      <w:r w:rsidR="00610CD2">
        <w:t xml:space="preserve"> eight</w:t>
      </w:r>
      <w:r w:rsidR="007267E8">
        <w:t xml:space="preserve"> times per year</w:t>
      </w:r>
      <w:r w:rsidR="00051148">
        <w:t xml:space="preserve"> (as a minimum)</w:t>
      </w:r>
      <w:r w:rsidR="00610CD2">
        <w:t xml:space="preserve"> </w:t>
      </w:r>
      <w:r w:rsidR="00D40444">
        <w:t>and on other occasions as considered necessary</w:t>
      </w:r>
      <w:r>
        <w:t>.</w:t>
      </w:r>
    </w:p>
    <w:p w14:paraId="051D5082" w14:textId="1B99B6C1" w:rsidR="009D1D1D" w:rsidRDefault="009D1D1D" w:rsidP="009D1D1D">
      <w:pPr>
        <w:pStyle w:val="NormalText"/>
      </w:pPr>
      <w:r w:rsidRPr="00F13B10">
        <w:lastRenderedPageBreak/>
        <w:t xml:space="preserve">The </w:t>
      </w:r>
      <w:r w:rsidR="00E30596">
        <w:t>Chair</w:t>
      </w:r>
      <w:r w:rsidRPr="00F13B10">
        <w:t xml:space="preserve"> may convene other meetings of the </w:t>
      </w:r>
      <w:r w:rsidR="00DD305B">
        <w:t>Board</w:t>
      </w:r>
      <w:r w:rsidRPr="00F13B10">
        <w:t xml:space="preserve"> if, in the </w:t>
      </w:r>
      <w:r w:rsidR="00E30596">
        <w:t>Chair</w:t>
      </w:r>
      <w:r w:rsidRPr="00F13B10">
        <w:t xml:space="preserve">’s opinion, these meetings are necessary for the efficient performance of the </w:t>
      </w:r>
      <w:r w:rsidRPr="001D2ECA">
        <w:t>organisation</w:t>
      </w:r>
      <w:r w:rsidRPr="00F13B10">
        <w:t>.</w:t>
      </w:r>
    </w:p>
    <w:p w14:paraId="50A632DD" w14:textId="63C95C68" w:rsidR="009D1D1D" w:rsidRDefault="009D1D1D" w:rsidP="009D1D1D">
      <w:pPr>
        <w:pStyle w:val="NormalText"/>
      </w:pPr>
      <w:r w:rsidRPr="00F13B10">
        <w:t xml:space="preserve">The </w:t>
      </w:r>
      <w:r w:rsidR="00DD305B">
        <w:t>Board</w:t>
      </w:r>
      <w:r w:rsidRPr="00F13B10">
        <w:t xml:space="preserve"> will either meet at the </w:t>
      </w:r>
      <w:r w:rsidR="00DD305B">
        <w:t>Company</w:t>
      </w:r>
      <w:r w:rsidRPr="00F13B10">
        <w:t>’s he</w:t>
      </w:r>
      <w:r>
        <w:t xml:space="preserve">adquarters in Brisbane </w:t>
      </w:r>
      <w:r w:rsidR="00610CD2">
        <w:t>or at one of its bulk sugar terminal locations</w:t>
      </w:r>
      <w:r w:rsidR="00051148">
        <w:t xml:space="preserve">. It may also choose </w:t>
      </w:r>
      <w:r w:rsidRPr="00F13B10">
        <w:t xml:space="preserve">to hold </w:t>
      </w:r>
      <w:r w:rsidR="00DD305B">
        <w:t>Board</w:t>
      </w:r>
      <w:r w:rsidRPr="00F13B10">
        <w:t xml:space="preserve"> meetings </w:t>
      </w:r>
      <w:r w:rsidR="00D225AC">
        <w:t xml:space="preserve">in other locations from time to time </w:t>
      </w:r>
      <w:r w:rsidRPr="00F13B10">
        <w:t xml:space="preserve">throughout the year. </w:t>
      </w:r>
      <w:r w:rsidR="001B6793">
        <w:t xml:space="preserve">The </w:t>
      </w:r>
      <w:r w:rsidR="00DD305B">
        <w:t>Board</w:t>
      </w:r>
      <w:r w:rsidR="001B6793">
        <w:t xml:space="preserve"> o</w:t>
      </w:r>
      <w:r w:rsidR="00D225AC">
        <w:t xml:space="preserve">ccasionally </w:t>
      </w:r>
      <w:r w:rsidR="001B6793">
        <w:t xml:space="preserve">meets by </w:t>
      </w:r>
      <w:r w:rsidR="00D225AC">
        <w:t>t</w:t>
      </w:r>
      <w:r w:rsidR="00B84AC5">
        <w:t>elephone</w:t>
      </w:r>
      <w:r w:rsidR="004F2AF1">
        <w:t xml:space="preserve"> or videoconference</w:t>
      </w:r>
      <w:r w:rsidR="001B6793">
        <w:t xml:space="preserve"> </w:t>
      </w:r>
      <w:r w:rsidR="00B84AC5">
        <w:t xml:space="preserve">if </w:t>
      </w:r>
      <w:r w:rsidR="001B6793">
        <w:t xml:space="preserve">there are </w:t>
      </w:r>
      <w:r w:rsidR="00B84AC5">
        <w:t xml:space="preserve">only one or two </w:t>
      </w:r>
      <w:r w:rsidR="00D225AC">
        <w:t xml:space="preserve">agenda items </w:t>
      </w:r>
      <w:r w:rsidR="00B84AC5">
        <w:t>to be dealt with.</w:t>
      </w:r>
    </w:p>
    <w:p w14:paraId="12FA2580" w14:textId="77777777" w:rsidR="009D1D1D" w:rsidRDefault="009D1D1D" w:rsidP="009D1D1D">
      <w:pPr>
        <w:pStyle w:val="NormalText"/>
      </w:pPr>
      <w:r w:rsidRPr="00CD6065">
        <w:t xml:space="preserve">The meeting agenda and </w:t>
      </w:r>
      <w:r w:rsidR="00DD305B">
        <w:t>Board</w:t>
      </w:r>
      <w:r w:rsidRPr="00CD6065">
        <w:t xml:space="preserve"> papers are provided to </w:t>
      </w:r>
      <w:r w:rsidR="00DD305B">
        <w:t>Director</w:t>
      </w:r>
      <w:r w:rsidRPr="00CD6065">
        <w:t xml:space="preserve">s no less than </w:t>
      </w:r>
      <w:r>
        <w:t xml:space="preserve">five working </w:t>
      </w:r>
      <w:r w:rsidRPr="00CD6065">
        <w:t>days prior to a scheduled meeting.</w:t>
      </w:r>
    </w:p>
    <w:p w14:paraId="217D517B" w14:textId="77777777" w:rsidR="009D1D1D" w:rsidRDefault="009D1D1D" w:rsidP="009D1D1D">
      <w:pPr>
        <w:pStyle w:val="NormalText"/>
      </w:pPr>
      <w:r w:rsidRPr="00CD6065">
        <w:t xml:space="preserve">Meetings are conducted to allow a full and frank exchange of views by the </w:t>
      </w:r>
      <w:r w:rsidR="00DD305B">
        <w:t>Director</w:t>
      </w:r>
      <w:r w:rsidRPr="00CD6065">
        <w:t xml:space="preserve">s while at the same time ensuring that a positive </w:t>
      </w:r>
      <w:r w:rsidR="00DD305B">
        <w:t>Board</w:t>
      </w:r>
      <w:r w:rsidRPr="00CD6065">
        <w:t xml:space="preserve"> culture is maintained. </w:t>
      </w:r>
    </w:p>
    <w:p w14:paraId="5FAB9514" w14:textId="4517A2DD" w:rsidR="009D1D1D" w:rsidRDefault="00051148" w:rsidP="009D1D1D">
      <w:pPr>
        <w:pStyle w:val="NormalText"/>
      </w:pPr>
      <w:r>
        <w:t>T</w:t>
      </w:r>
      <w:r w:rsidRPr="00CD6065">
        <w:t xml:space="preserve">he </w:t>
      </w:r>
      <w:r>
        <w:t>Company</w:t>
      </w:r>
      <w:r w:rsidRPr="00CD6065">
        <w:t xml:space="preserve"> </w:t>
      </w:r>
      <w:r>
        <w:t>Secretary</w:t>
      </w:r>
      <w:r w:rsidRPr="00CD6065">
        <w:t xml:space="preserve"> </w:t>
      </w:r>
      <w:r>
        <w:t>keeps a</w:t>
      </w:r>
      <w:r w:rsidR="009D1D1D" w:rsidRPr="00CD6065">
        <w:t xml:space="preserve"> full set of minutes.</w:t>
      </w:r>
    </w:p>
    <w:p w14:paraId="5482FF59" w14:textId="09630C4E" w:rsidR="009D1D1D" w:rsidRPr="009D1D1D" w:rsidRDefault="009D1D1D" w:rsidP="009D1D1D">
      <w:pPr>
        <w:pStyle w:val="NormalText"/>
      </w:pPr>
      <w:proofErr w:type="gramStart"/>
      <w:r w:rsidRPr="00CD6065">
        <w:t>In order to</w:t>
      </w:r>
      <w:proofErr w:type="gramEnd"/>
      <w:r w:rsidRPr="00CD6065">
        <w:t xml:space="preserve"> provide an even distribution of work over each financial year, the </w:t>
      </w:r>
      <w:r w:rsidR="00DD305B">
        <w:t>Board</w:t>
      </w:r>
      <w:r w:rsidRPr="00CD6065">
        <w:t xml:space="preserve"> has adopted a twelve</w:t>
      </w:r>
      <w:r w:rsidR="00977F79">
        <w:t>-</w:t>
      </w:r>
      <w:r w:rsidRPr="00CD6065">
        <w:t xml:space="preserve">month </w:t>
      </w:r>
      <w:r w:rsidR="00DD305B">
        <w:t>Board</w:t>
      </w:r>
      <w:r w:rsidRPr="00CD6065">
        <w:t xml:space="preserve"> calendar, which includes all scheduled </w:t>
      </w:r>
      <w:r w:rsidR="00DD305B">
        <w:t>Board</w:t>
      </w:r>
      <w:r w:rsidRPr="00CD6065">
        <w:t xml:space="preserve"> and </w:t>
      </w:r>
      <w:r w:rsidR="00DD305B">
        <w:t>Committee</w:t>
      </w:r>
      <w:r w:rsidRPr="00CD6065">
        <w:t xml:space="preserve"> meetings as well as major corporate and </w:t>
      </w:r>
      <w:r w:rsidR="00DD305B">
        <w:t>Board</w:t>
      </w:r>
      <w:r w:rsidRPr="00CD6065">
        <w:t xml:space="preserve"> activities.</w:t>
      </w:r>
    </w:p>
    <w:p w14:paraId="408AE66E" w14:textId="36CFDDE4" w:rsidR="009D1D1D" w:rsidRDefault="009D1D1D" w:rsidP="009D1D1D">
      <w:pPr>
        <w:pStyle w:val="Heading2"/>
      </w:pPr>
      <w:bookmarkStart w:id="23" w:name="_Toc126325744"/>
      <w:r>
        <w:t xml:space="preserve">9.1 Disclosure of </w:t>
      </w:r>
      <w:r w:rsidR="00E107D9">
        <w:t>interest</w:t>
      </w:r>
      <w:bookmarkEnd w:id="23"/>
    </w:p>
    <w:p w14:paraId="2BB6CF6C" w14:textId="77777777" w:rsidR="009D1D1D" w:rsidRDefault="009D1D1D" w:rsidP="009D1D1D">
      <w:pPr>
        <w:pStyle w:val="NormalText"/>
      </w:pPr>
      <w:r w:rsidRPr="00CD6065">
        <w:t xml:space="preserve">As required by the constitution of </w:t>
      </w:r>
      <w:r w:rsidR="0016265B">
        <w:t>STL</w:t>
      </w:r>
      <w:r w:rsidRPr="00CD6065">
        <w:t xml:space="preserve">, all </w:t>
      </w:r>
      <w:r w:rsidR="00DD305B">
        <w:t>Director</w:t>
      </w:r>
      <w:r w:rsidRPr="00CD6065">
        <w:t xml:space="preserve">s have a legal obligation to disclose to the </w:t>
      </w:r>
      <w:r w:rsidR="00DD305B">
        <w:t>Board</w:t>
      </w:r>
      <w:r w:rsidR="007267E8">
        <w:t>, any material</w:t>
      </w:r>
      <w:r w:rsidRPr="00CD6065">
        <w:t xml:space="preserve"> interest which relates to the business of the </w:t>
      </w:r>
      <w:r w:rsidR="00DD305B">
        <w:t>Company</w:t>
      </w:r>
      <w:r w:rsidRPr="00CD6065">
        <w:t xml:space="preserve">. When an issue arises at a </w:t>
      </w:r>
      <w:r w:rsidR="00DD305B">
        <w:t>Board</w:t>
      </w:r>
      <w:r w:rsidRPr="00CD6065">
        <w:t xml:space="preserve"> meeting, relating to such an interest, the </w:t>
      </w:r>
      <w:r w:rsidR="00DD305B">
        <w:t>Director</w:t>
      </w:r>
      <w:r w:rsidRPr="00CD6065">
        <w:t xml:space="preserve"> will not attend the meeting while that matter is discussed and may not vote on such an issue, unless the non-conflicted </w:t>
      </w:r>
      <w:r w:rsidR="00DD305B">
        <w:t>Director</w:t>
      </w:r>
      <w:r w:rsidRPr="00CD6065">
        <w:t xml:space="preserve">s pass a resolution that the </w:t>
      </w:r>
      <w:r w:rsidR="00DD305B">
        <w:t>Director</w:t>
      </w:r>
      <w:r w:rsidRPr="00CD6065">
        <w:t xml:space="preserve"> may either remain for the discussion but not vote or remain for the discussion and vote. The non-conflicted </w:t>
      </w:r>
      <w:r w:rsidR="00DD305B">
        <w:t>Director</w:t>
      </w:r>
      <w:r w:rsidRPr="00CD6065">
        <w:t xml:space="preserve">s will only pass such a resolution when they are strongly of the view that the nature of the conflict does not inhibit the conflicted </w:t>
      </w:r>
      <w:r w:rsidR="00DD305B">
        <w:t>Director</w:t>
      </w:r>
      <w:r w:rsidRPr="00CD6065">
        <w:t xml:space="preserve"> from </w:t>
      </w:r>
      <w:proofErr w:type="gramStart"/>
      <w:r w:rsidRPr="00CD6065">
        <w:t>making a decision</w:t>
      </w:r>
      <w:proofErr w:type="gramEnd"/>
      <w:r w:rsidRPr="00CD6065">
        <w:t xml:space="preserve"> in the best interest of the </w:t>
      </w:r>
      <w:r w:rsidR="00DD305B">
        <w:t>Company</w:t>
      </w:r>
      <w:r w:rsidRPr="00CD6065">
        <w:t xml:space="preserve">. </w:t>
      </w:r>
    </w:p>
    <w:p w14:paraId="1F402453" w14:textId="77777777" w:rsidR="009D1D1D" w:rsidRDefault="00DD305B" w:rsidP="009D1D1D">
      <w:pPr>
        <w:pStyle w:val="NormalText"/>
      </w:pPr>
      <w:r>
        <w:t>Director</w:t>
      </w:r>
      <w:r w:rsidR="009D1D1D" w:rsidRPr="00CD6065">
        <w:t xml:space="preserve">s have an obligation to disclose to the </w:t>
      </w:r>
      <w:r>
        <w:t>Board</w:t>
      </w:r>
      <w:r w:rsidR="009D1D1D" w:rsidRPr="00CD6065">
        <w:t xml:space="preserve"> any other interest which the </w:t>
      </w:r>
      <w:r>
        <w:t>Director</w:t>
      </w:r>
      <w:r w:rsidR="009D1D1D" w:rsidRPr="00CD6065">
        <w:t xml:space="preserve"> believes is appropriate to disclose </w:t>
      </w:r>
      <w:proofErr w:type="gramStart"/>
      <w:r w:rsidR="009D1D1D" w:rsidRPr="00CD6065">
        <w:t>in order to</w:t>
      </w:r>
      <w:proofErr w:type="gramEnd"/>
      <w:r w:rsidR="009D1D1D" w:rsidRPr="00CD6065">
        <w:t xml:space="preserve"> ensure there is no actual or perceived conflict of interest. The </w:t>
      </w:r>
      <w:r>
        <w:t>Company</w:t>
      </w:r>
      <w:r w:rsidR="009D1D1D" w:rsidRPr="00CD6065">
        <w:t xml:space="preserve"> maintains a Register of Conflicts of Interest.</w:t>
      </w:r>
    </w:p>
    <w:p w14:paraId="7ABE3F91" w14:textId="073265A0" w:rsidR="009D1D1D" w:rsidRDefault="009D1D1D" w:rsidP="009D1D1D">
      <w:pPr>
        <w:pStyle w:val="Heading1"/>
      </w:pPr>
      <w:bookmarkStart w:id="24" w:name="_Toc126325745"/>
      <w:r>
        <w:t xml:space="preserve">10. </w:t>
      </w:r>
      <w:r w:rsidR="00DD305B">
        <w:t>Board</w:t>
      </w:r>
      <w:r>
        <w:t xml:space="preserve"> and </w:t>
      </w:r>
      <w:r w:rsidR="002D77F7">
        <w:t>CEO</w:t>
      </w:r>
      <w:r w:rsidR="00865E5F">
        <w:t xml:space="preserve"> </w:t>
      </w:r>
      <w:r w:rsidR="00E107D9">
        <w:t>evaluation</w:t>
      </w:r>
      <w:bookmarkEnd w:id="24"/>
    </w:p>
    <w:p w14:paraId="6F999F73" w14:textId="4CB6F91E" w:rsidR="009D1D1D" w:rsidRDefault="00150C68" w:rsidP="00150C68">
      <w:pPr>
        <w:pStyle w:val="Heading2"/>
      </w:pPr>
      <w:bookmarkStart w:id="25" w:name="_Toc126325746"/>
      <w:r>
        <w:t xml:space="preserve">10.1 </w:t>
      </w:r>
      <w:r w:rsidR="00DD305B">
        <w:t>Board</w:t>
      </w:r>
      <w:r>
        <w:t xml:space="preserve"> </w:t>
      </w:r>
      <w:r w:rsidR="00E107D9">
        <w:t>evaluation</w:t>
      </w:r>
      <w:bookmarkEnd w:id="25"/>
    </w:p>
    <w:p w14:paraId="7386EFB1" w14:textId="10C9CFAB" w:rsidR="00150C68" w:rsidRPr="00CD6065" w:rsidRDefault="00150C68" w:rsidP="00150C68">
      <w:pPr>
        <w:pStyle w:val="NormalText"/>
      </w:pPr>
      <w:r w:rsidRPr="00CD6065">
        <w:t xml:space="preserve">The </w:t>
      </w:r>
      <w:r w:rsidR="00DD305B">
        <w:t>Board</w:t>
      </w:r>
      <w:r w:rsidRPr="00CD6065">
        <w:t xml:space="preserve"> recognises its responsibility to conduct regular evaluations of the performance of the </w:t>
      </w:r>
      <w:r w:rsidR="00DD305B">
        <w:t>Board</w:t>
      </w:r>
      <w:r w:rsidRPr="00CD6065">
        <w:t xml:space="preserve"> and individual </w:t>
      </w:r>
      <w:r w:rsidR="00DD305B">
        <w:t>Director</w:t>
      </w:r>
      <w:r w:rsidRPr="00CD6065">
        <w:t xml:space="preserve">s. </w:t>
      </w:r>
      <w:r w:rsidR="00051148">
        <w:t xml:space="preserve">Each year, the Board’s performance is evaluated against </w:t>
      </w:r>
      <w:r w:rsidRPr="00CD6065">
        <w:t xml:space="preserve">the requirements of this </w:t>
      </w:r>
      <w:r w:rsidR="00DD305B">
        <w:t>Charter</w:t>
      </w:r>
      <w:r w:rsidRPr="00CD6065">
        <w:t xml:space="preserve"> and leading practice principles of good governance</w:t>
      </w:r>
      <w:r>
        <w:t>.</w:t>
      </w:r>
      <w:r w:rsidR="00D225AC">
        <w:t xml:space="preserve"> </w:t>
      </w:r>
    </w:p>
    <w:p w14:paraId="1AA64F51" w14:textId="193D4C45" w:rsidR="00150C68" w:rsidRDefault="00051148" w:rsidP="00150C68">
      <w:pPr>
        <w:pStyle w:val="NormalText"/>
      </w:pPr>
      <w:r>
        <w:t xml:space="preserve">At least once in </w:t>
      </w:r>
      <w:r w:rsidRPr="00CD6065">
        <w:t xml:space="preserve">every </w:t>
      </w:r>
      <w:r>
        <w:t xml:space="preserve">three </w:t>
      </w:r>
      <w:r w:rsidRPr="00CD6065">
        <w:t>years</w:t>
      </w:r>
      <w:r>
        <w:t>,</w:t>
      </w:r>
      <w:r w:rsidRPr="00CD6065">
        <w:t xml:space="preserve"> </w:t>
      </w:r>
      <w:r>
        <w:t>t</w:t>
      </w:r>
      <w:r w:rsidR="00150C68" w:rsidRPr="00CD6065">
        <w:t xml:space="preserve">he </w:t>
      </w:r>
      <w:r w:rsidR="00DD305B">
        <w:t>Board</w:t>
      </w:r>
      <w:r w:rsidR="00150C68" w:rsidRPr="00CD6065">
        <w:t xml:space="preserve"> engages an independent advisory firm with </w:t>
      </w:r>
      <w:r w:rsidR="00150C68" w:rsidRPr="00CD6065">
        <w:lastRenderedPageBreak/>
        <w:t xml:space="preserve">expertise in </w:t>
      </w:r>
      <w:r w:rsidR="00DD305B">
        <w:t>Board</w:t>
      </w:r>
      <w:r w:rsidR="00150C68" w:rsidRPr="00CD6065">
        <w:t xml:space="preserve"> assessment to facilitate the process.</w:t>
      </w:r>
      <w:r w:rsidR="00150C68">
        <w:t xml:space="preserve"> The external review includes a review of the performance of the </w:t>
      </w:r>
      <w:r w:rsidR="00E30596">
        <w:t>Chair</w:t>
      </w:r>
      <w:r w:rsidR="00150C68">
        <w:t xml:space="preserve">, individual </w:t>
      </w:r>
      <w:proofErr w:type="gramStart"/>
      <w:r w:rsidR="00DD305B">
        <w:t>Director</w:t>
      </w:r>
      <w:r w:rsidR="00150C68">
        <w:t>s</w:t>
      </w:r>
      <w:proofErr w:type="gramEnd"/>
      <w:r w:rsidR="00150C68">
        <w:t xml:space="preserve"> and </w:t>
      </w:r>
      <w:r w:rsidR="00DD305B">
        <w:t>Board</w:t>
      </w:r>
      <w:r w:rsidR="00150C68">
        <w:t xml:space="preserve"> </w:t>
      </w:r>
      <w:r w:rsidR="00DD305B">
        <w:t>Committee</w:t>
      </w:r>
      <w:r w:rsidR="00150C68">
        <w:t xml:space="preserve">s. </w:t>
      </w:r>
    </w:p>
    <w:p w14:paraId="793D8D32" w14:textId="77777777" w:rsidR="00150C68" w:rsidRPr="00CD6065" w:rsidRDefault="00150C68" w:rsidP="00150C68">
      <w:pPr>
        <w:pStyle w:val="NormalText"/>
      </w:pPr>
      <w:r w:rsidRPr="00CD6065">
        <w:t xml:space="preserve">The processes are regularly reviewed to ensure they meet contemporary good practice guidelines for </w:t>
      </w:r>
      <w:r w:rsidR="00DD305B">
        <w:t>Board</w:t>
      </w:r>
      <w:r w:rsidRPr="00CD6065">
        <w:t xml:space="preserve"> and </w:t>
      </w:r>
      <w:r w:rsidR="00DD305B">
        <w:t>Director</w:t>
      </w:r>
      <w:r w:rsidRPr="00CD6065">
        <w:t xml:space="preserve"> assessment.</w:t>
      </w:r>
    </w:p>
    <w:p w14:paraId="495EAEE6" w14:textId="29106791" w:rsidR="00150C68" w:rsidRDefault="00150C68" w:rsidP="00150C68">
      <w:pPr>
        <w:pStyle w:val="Heading2"/>
      </w:pPr>
      <w:bookmarkStart w:id="26" w:name="_Toc126325747"/>
      <w:r>
        <w:t xml:space="preserve">10.2 </w:t>
      </w:r>
      <w:r w:rsidR="002D77F7">
        <w:t>CEO</w:t>
      </w:r>
      <w:r>
        <w:t xml:space="preserve"> </w:t>
      </w:r>
      <w:r w:rsidR="00E107D9">
        <w:t>evaluation</w:t>
      </w:r>
      <w:bookmarkEnd w:id="26"/>
    </w:p>
    <w:p w14:paraId="50689195" w14:textId="77777777" w:rsidR="00150C68" w:rsidRDefault="002D77F7" w:rsidP="00150C68">
      <w:pPr>
        <w:pStyle w:val="NormalText"/>
      </w:pPr>
      <w:r>
        <w:t>CEO</w:t>
      </w:r>
      <w:r w:rsidR="00150C68" w:rsidRPr="00CD6065">
        <w:t xml:space="preserve"> </w:t>
      </w:r>
      <w:r w:rsidR="00150C68">
        <w:t>evaluation</w:t>
      </w:r>
      <w:r w:rsidR="00865E5F">
        <w:t xml:space="preserve"> is undertaken by the full </w:t>
      </w:r>
      <w:r w:rsidR="00DD305B">
        <w:t>Board</w:t>
      </w:r>
      <w:r w:rsidR="00865E5F">
        <w:t xml:space="preserve">. </w:t>
      </w:r>
    </w:p>
    <w:p w14:paraId="3D1628CB" w14:textId="0B87A0A4" w:rsidR="00EE658C" w:rsidRPr="00CD6065" w:rsidRDefault="00EE658C" w:rsidP="00150C68">
      <w:pPr>
        <w:pStyle w:val="NormalText"/>
      </w:pPr>
      <w:r w:rsidRPr="00EE658C">
        <w:t>At the commencement of each financial year, the Board will have a discussion, without the CEO being present, about KPIs for the CEO for the coming year. These indicators are aligned to overall business goal</w:t>
      </w:r>
      <w:r w:rsidR="005E1A30">
        <w:t xml:space="preserve">s and </w:t>
      </w:r>
      <w:r w:rsidRPr="00EE658C">
        <w:t>agreed strategy</w:t>
      </w:r>
      <w:r w:rsidR="005E1A30">
        <w:t xml:space="preserve">. </w:t>
      </w:r>
      <w:r w:rsidRPr="00EE658C">
        <w:t>Following that discussion, the CEO will meet and agree with the Board on a set of performance indicators.</w:t>
      </w:r>
      <w:r w:rsidR="00B541E4">
        <w:t xml:space="preserve">  The performance indicators </w:t>
      </w:r>
      <w:r w:rsidR="00B541E4" w:rsidRPr="00EE658C">
        <w:t>will be signed-off by the Board as a whole.</w:t>
      </w:r>
      <w:r w:rsidR="00B541E4">
        <w:t xml:space="preserve">  </w:t>
      </w:r>
    </w:p>
    <w:p w14:paraId="56A5EDC6" w14:textId="77777777" w:rsidR="00150C68" w:rsidRDefault="00150C68" w:rsidP="00150C68">
      <w:pPr>
        <w:pStyle w:val="Heading1"/>
      </w:pPr>
      <w:bookmarkStart w:id="27" w:name="_Toc126325748"/>
      <w:r>
        <w:t>11. Remuneration</w:t>
      </w:r>
      <w:bookmarkEnd w:id="27"/>
    </w:p>
    <w:p w14:paraId="369FAD4E" w14:textId="77777777" w:rsidR="00150C68" w:rsidRPr="008905BB" w:rsidRDefault="00150C68" w:rsidP="00150C68">
      <w:pPr>
        <w:pStyle w:val="NormalText"/>
      </w:pPr>
      <w:bookmarkStart w:id="28" w:name="_Toc255979806"/>
      <w:bookmarkStart w:id="29" w:name="_Toc272329581"/>
      <w:r w:rsidRPr="008905BB">
        <w:t xml:space="preserve">The constitution provides that non-executive </w:t>
      </w:r>
      <w:r w:rsidR="00DD305B">
        <w:t>Director</w:t>
      </w:r>
      <w:r w:rsidRPr="008905BB">
        <w:t>s will be paid</w:t>
      </w:r>
      <w:r w:rsidR="007267E8">
        <w:t xml:space="preserve"> no more in aggregate than a limit </w:t>
      </w:r>
      <w:r w:rsidRPr="008905BB">
        <w:t xml:space="preserve">approved by an ordinary resolution of </w:t>
      </w:r>
      <w:r>
        <w:t xml:space="preserve">the </w:t>
      </w:r>
      <w:r w:rsidR="007267E8">
        <w:t>shareholders</w:t>
      </w:r>
      <w:r w:rsidRPr="008905BB">
        <w:t xml:space="preserve">. </w:t>
      </w:r>
    </w:p>
    <w:p w14:paraId="26C86427" w14:textId="77777777" w:rsidR="00150C68" w:rsidRPr="008905BB" w:rsidRDefault="00DD305B" w:rsidP="00150C68">
      <w:pPr>
        <w:pStyle w:val="NormalText"/>
      </w:pPr>
      <w:r>
        <w:t>Director</w:t>
      </w:r>
      <w:r w:rsidR="00150C68" w:rsidRPr="008905BB">
        <w:t xml:space="preserve">s may take advice from a qualified remuneration consultant to advise the shareholders of an appropriate level of remuneration for </w:t>
      </w:r>
      <w:r>
        <w:t>Director</w:t>
      </w:r>
      <w:r w:rsidR="00150C68" w:rsidRPr="008905BB">
        <w:t xml:space="preserve">s having regard to the nature of </w:t>
      </w:r>
      <w:r w:rsidR="00A41631">
        <w:t xml:space="preserve">STL’s </w:t>
      </w:r>
      <w:r w:rsidR="00150C68" w:rsidRPr="008905BB">
        <w:t xml:space="preserve">business, its performance and the skills, </w:t>
      </w:r>
      <w:proofErr w:type="gramStart"/>
      <w:r w:rsidR="00150C68" w:rsidRPr="008905BB">
        <w:t>expertise</w:t>
      </w:r>
      <w:proofErr w:type="gramEnd"/>
      <w:r w:rsidR="00150C68" w:rsidRPr="008905BB">
        <w:t xml:space="preserve"> and performance of the </w:t>
      </w:r>
      <w:r>
        <w:t>Director</w:t>
      </w:r>
      <w:r w:rsidR="00150C68" w:rsidRPr="008905BB">
        <w:t>s.</w:t>
      </w:r>
    </w:p>
    <w:p w14:paraId="70B6E556" w14:textId="77777777" w:rsidR="00150C68" w:rsidRDefault="00DD305B" w:rsidP="00150C68">
      <w:pPr>
        <w:pStyle w:val="NormalText"/>
        <w:rPr>
          <w:rFonts w:cs="Arial"/>
        </w:rPr>
      </w:pPr>
      <w:r>
        <w:rPr>
          <w:rFonts w:cs="Arial"/>
        </w:rPr>
        <w:t>Director</w:t>
      </w:r>
      <w:r w:rsidR="00150C68">
        <w:rPr>
          <w:rFonts w:cs="Arial"/>
        </w:rPr>
        <w:t>s</w:t>
      </w:r>
      <w:r w:rsidR="00150C68" w:rsidRPr="008905BB">
        <w:rPr>
          <w:rFonts w:cs="Arial"/>
        </w:rPr>
        <w:t xml:space="preserve"> are entitled to be paid travel, accommodation and other expenses incurred in connection with the </w:t>
      </w:r>
      <w:r>
        <w:rPr>
          <w:rFonts w:cs="Arial"/>
        </w:rPr>
        <w:t>Board</w:t>
      </w:r>
      <w:r w:rsidR="00150C68" w:rsidRPr="008905BB">
        <w:rPr>
          <w:rFonts w:cs="Arial"/>
        </w:rPr>
        <w:t xml:space="preserve"> member’s attendance at </w:t>
      </w:r>
      <w:r>
        <w:rPr>
          <w:rFonts w:cs="Arial"/>
        </w:rPr>
        <w:t>Board</w:t>
      </w:r>
      <w:r w:rsidR="00150C68" w:rsidRPr="008905BB">
        <w:rPr>
          <w:rFonts w:cs="Arial"/>
        </w:rPr>
        <w:t xml:space="preserve">, </w:t>
      </w:r>
      <w:proofErr w:type="gramStart"/>
      <w:r>
        <w:rPr>
          <w:rFonts w:cs="Arial"/>
        </w:rPr>
        <w:t>Committee</w:t>
      </w:r>
      <w:proofErr w:type="gramEnd"/>
      <w:r w:rsidR="00150C68" w:rsidRPr="008905BB">
        <w:rPr>
          <w:rFonts w:cs="Arial"/>
        </w:rPr>
        <w:t xml:space="preserve"> or general meetings or otherwise in connection with the performance of a </w:t>
      </w:r>
      <w:r>
        <w:rPr>
          <w:rFonts w:cs="Arial"/>
        </w:rPr>
        <w:t>Board</w:t>
      </w:r>
      <w:r w:rsidR="00150C68" w:rsidRPr="008905BB">
        <w:rPr>
          <w:rFonts w:cs="Arial"/>
        </w:rPr>
        <w:t xml:space="preserve"> member’s duties.</w:t>
      </w:r>
      <w:bookmarkEnd w:id="28"/>
      <w:bookmarkEnd w:id="29"/>
    </w:p>
    <w:p w14:paraId="338904C9" w14:textId="62A68DD8" w:rsidR="00150C68" w:rsidRDefault="00150C68" w:rsidP="00150C68">
      <w:pPr>
        <w:pStyle w:val="Heading1"/>
      </w:pPr>
      <w:bookmarkStart w:id="30" w:name="_Toc126325749"/>
      <w:r>
        <w:t xml:space="preserve">12. </w:t>
      </w:r>
      <w:r w:rsidR="00DD305B">
        <w:t>Director</w:t>
      </w:r>
      <w:r>
        <w:t xml:space="preserve"> </w:t>
      </w:r>
      <w:r w:rsidR="00E107D9">
        <w:t xml:space="preserve">induction </w:t>
      </w:r>
      <w:r>
        <w:t xml:space="preserve">and </w:t>
      </w:r>
      <w:r w:rsidR="00E107D9">
        <w:t>development</w:t>
      </w:r>
      <w:bookmarkEnd w:id="30"/>
    </w:p>
    <w:p w14:paraId="2A896644" w14:textId="433770C0" w:rsidR="00150C68" w:rsidRPr="00CD6065" w:rsidRDefault="00150C68" w:rsidP="00150C68">
      <w:pPr>
        <w:pStyle w:val="NormalText"/>
      </w:pPr>
      <w:r w:rsidRPr="00CD6065">
        <w:t xml:space="preserve">New </w:t>
      </w:r>
      <w:r w:rsidR="00DD305B">
        <w:t>Director</w:t>
      </w:r>
      <w:r w:rsidRPr="00CD6065">
        <w:t xml:space="preserve">s undergo a full induction into their role on the </w:t>
      </w:r>
      <w:r w:rsidR="00DD305B">
        <w:t>Board</w:t>
      </w:r>
      <w:r w:rsidRPr="00CD6065">
        <w:t>.</w:t>
      </w:r>
      <w:r>
        <w:t xml:space="preserve"> </w:t>
      </w:r>
      <w:r w:rsidRPr="00CD6065">
        <w:t xml:space="preserve">The </w:t>
      </w:r>
      <w:r w:rsidR="00DD305B">
        <w:t>Board</w:t>
      </w:r>
      <w:r w:rsidRPr="00CD6065">
        <w:t xml:space="preserve"> allocates an annual budget to encourage </w:t>
      </w:r>
      <w:r w:rsidR="00DD305B">
        <w:t>Director</w:t>
      </w:r>
      <w:r w:rsidRPr="00CD6065">
        <w:t>s to participate in training and professional development programs</w:t>
      </w:r>
      <w:r w:rsidR="001D07AB">
        <w:t xml:space="preserve"> in line with the Bo</w:t>
      </w:r>
      <w:r w:rsidR="00E66294">
        <w:t>ard Professional Development Policy (MS-PO-12)</w:t>
      </w:r>
      <w:r w:rsidRPr="00CD6065">
        <w:t>.</w:t>
      </w:r>
      <w:r w:rsidR="00D225AC">
        <w:t xml:space="preserve"> </w:t>
      </w:r>
    </w:p>
    <w:p w14:paraId="742510F9" w14:textId="77777777" w:rsidR="00150C68" w:rsidRDefault="00150C68" w:rsidP="00150C68">
      <w:pPr>
        <w:pStyle w:val="Heading1"/>
      </w:pPr>
      <w:bookmarkStart w:id="31" w:name="_Toc126325750"/>
      <w:r>
        <w:t>13. Review</w:t>
      </w:r>
      <w:bookmarkEnd w:id="31"/>
    </w:p>
    <w:p w14:paraId="4D090B3B" w14:textId="13CC1C38" w:rsidR="00150C68" w:rsidRPr="00150C68" w:rsidRDefault="00E107D9" w:rsidP="00150C68">
      <w:pPr>
        <w:pStyle w:val="NormalText"/>
      </w:pPr>
      <w:r>
        <w:t>The Board reviews its</w:t>
      </w:r>
      <w:r w:rsidRPr="001D2ECA">
        <w:t xml:space="preserve"> </w:t>
      </w:r>
      <w:r w:rsidR="00DD305B">
        <w:t>Charter</w:t>
      </w:r>
      <w:r w:rsidR="00150C68" w:rsidRPr="001D2ECA">
        <w:t xml:space="preserve"> </w:t>
      </w:r>
      <w:r w:rsidR="00723CB1">
        <w:t>every two years</w:t>
      </w:r>
      <w:r w:rsidR="00150C68" w:rsidRPr="001D2ECA">
        <w:t xml:space="preserve"> </w:t>
      </w:r>
      <w:r>
        <w:t>to ensure it complies with relevant legislation and good governance practices</w:t>
      </w:r>
      <w:r w:rsidR="00150C68" w:rsidRPr="001D2ECA">
        <w:t>.</w:t>
      </w:r>
    </w:p>
    <w:p w14:paraId="6F00AA20" w14:textId="77777777" w:rsidR="00150C68" w:rsidRDefault="00150C68" w:rsidP="00150C68">
      <w:pPr>
        <w:pStyle w:val="Heading1"/>
      </w:pPr>
      <w:bookmarkStart w:id="32" w:name="_Toc126325751"/>
      <w:r>
        <w:lastRenderedPageBreak/>
        <w:t xml:space="preserve">14. Publication of </w:t>
      </w:r>
      <w:r w:rsidR="00DD305B">
        <w:t>Charter</w:t>
      </w:r>
      <w:bookmarkEnd w:id="32"/>
      <w:r>
        <w:t xml:space="preserve"> </w:t>
      </w:r>
    </w:p>
    <w:p w14:paraId="078B89B6" w14:textId="36892FC1" w:rsidR="00150C68" w:rsidRPr="00CD6065" w:rsidRDefault="00150C68" w:rsidP="00150C68">
      <w:pPr>
        <w:pStyle w:val="NormalText"/>
      </w:pPr>
      <w:r w:rsidRPr="00CD6065">
        <w:t xml:space="preserve">The latest version of </w:t>
      </w:r>
      <w:r w:rsidR="00E107D9">
        <w:t>the Board</w:t>
      </w:r>
      <w:r w:rsidR="00E107D9" w:rsidRPr="00CD6065">
        <w:t xml:space="preserve"> </w:t>
      </w:r>
      <w:r w:rsidR="00DD305B">
        <w:t>Charter</w:t>
      </w:r>
      <w:r w:rsidRPr="00CD6065">
        <w:t xml:space="preserve"> is made available on the </w:t>
      </w:r>
      <w:r w:rsidR="00DD305B">
        <w:t>Company</w:t>
      </w:r>
      <w:r w:rsidRPr="00CD6065">
        <w:t>'s website</w:t>
      </w:r>
      <w:r w:rsidR="002615ED">
        <w:t xml:space="preserve">. </w:t>
      </w:r>
    </w:p>
    <w:sectPr w:rsidR="00150C68" w:rsidRPr="00CD6065" w:rsidSect="000137BE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0" w:h="16840"/>
      <w:pgMar w:top="1560" w:right="1410" w:bottom="1134" w:left="1800" w:header="708" w:footer="708" w:gutter="0"/>
      <w:cols w:space="179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0886" w14:textId="77777777" w:rsidR="003136DE" w:rsidRDefault="003136DE" w:rsidP="003613B7">
      <w:r>
        <w:separator/>
      </w:r>
    </w:p>
  </w:endnote>
  <w:endnote w:type="continuationSeparator" w:id="0">
    <w:p w14:paraId="273805B1" w14:textId="77777777" w:rsidR="003136DE" w:rsidRDefault="003136DE" w:rsidP="003613B7">
      <w:r>
        <w:continuationSeparator/>
      </w:r>
    </w:p>
  </w:endnote>
  <w:endnote w:type="continuationNotice" w:id="1">
    <w:p w14:paraId="321C25F3" w14:textId="77777777" w:rsidR="003136DE" w:rsidRDefault="00313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DIN-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4829" w14:textId="77777777" w:rsidR="00090BB0" w:rsidRPr="00A27849" w:rsidRDefault="00090BB0" w:rsidP="003613B7">
    <w:pPr>
      <w:pStyle w:val="Footer"/>
      <w:rPr>
        <w:rStyle w:val="PageNumber"/>
        <w:highlight w:val="yellow"/>
      </w:rPr>
    </w:pPr>
    <w:r w:rsidRPr="00A27849">
      <w:rPr>
        <w:rStyle w:val="PageNumber"/>
        <w:highlight w:val="yellow"/>
      </w:rPr>
      <w:fldChar w:fldCharType="begin"/>
    </w:r>
    <w:r w:rsidRPr="00A27849">
      <w:rPr>
        <w:rStyle w:val="PageNumber"/>
        <w:highlight w:val="yellow"/>
      </w:rPr>
      <w:instrText xml:space="preserve">PAGE  </w:instrText>
    </w:r>
    <w:r w:rsidRPr="00A27849">
      <w:rPr>
        <w:rStyle w:val="PageNumber"/>
        <w:highlight w:val="yellow"/>
      </w:rPr>
      <w:fldChar w:fldCharType="separate"/>
    </w:r>
    <w:r w:rsidRPr="00A27849">
      <w:rPr>
        <w:rStyle w:val="PageNumber"/>
        <w:noProof/>
        <w:highlight w:val="yellow"/>
      </w:rPr>
      <w:t>4</w:t>
    </w:r>
    <w:r w:rsidRPr="00A27849">
      <w:rPr>
        <w:rStyle w:val="PageNumber"/>
        <w:highlight w:val="yellow"/>
      </w:rPr>
      <w:fldChar w:fldCharType="end"/>
    </w:r>
  </w:p>
  <w:p w14:paraId="1D35F9B4" w14:textId="77777777" w:rsidR="00090BB0" w:rsidRPr="00A27849" w:rsidRDefault="00090BB0" w:rsidP="003613B7">
    <w:pPr>
      <w:pStyle w:val="Footer"/>
      <w:rPr>
        <w:highlight w:val="yell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D47E" w14:textId="0E08B959" w:rsidR="00F920B2" w:rsidRDefault="00224ED9" w:rsidP="00F920B2">
    <w:pPr>
      <w:pStyle w:val="Footer"/>
      <w:tabs>
        <w:tab w:val="center" w:pos="4678"/>
        <w:tab w:val="right" w:pos="9639"/>
      </w:tabs>
      <w:rPr>
        <w:i/>
        <w:sz w:val="12"/>
        <w:szCs w:val="12"/>
      </w:rPr>
    </w:pPr>
    <w:r w:rsidRPr="00EC31D8">
      <w:rPr>
        <w:i/>
        <w:sz w:val="12"/>
        <w:szCs w:val="12"/>
      </w:rPr>
      <w:t>Doc No: MS-CH-0</w:t>
    </w:r>
    <w:r w:rsidR="00F920B2">
      <w:rPr>
        <w:i/>
        <w:sz w:val="12"/>
        <w:szCs w:val="12"/>
      </w:rPr>
      <w:t>1</w:t>
    </w:r>
    <w:r w:rsidRPr="00EC31D8">
      <w:rPr>
        <w:i/>
        <w:sz w:val="12"/>
        <w:szCs w:val="12"/>
      </w:rPr>
      <w:tab/>
      <w:t>This document is uncontrolled if printed or copied</w:t>
    </w:r>
    <w:r w:rsidRPr="00EC31D8">
      <w:rPr>
        <w:i/>
        <w:sz w:val="12"/>
        <w:szCs w:val="12"/>
      </w:rPr>
      <w:tab/>
      <w:t>Prepared by: STL CFO</w:t>
    </w:r>
  </w:p>
  <w:p w14:paraId="2E095BC2" w14:textId="37DBB2C6" w:rsidR="00224ED9" w:rsidRPr="00EC31D8" w:rsidRDefault="00224ED9" w:rsidP="00F920B2">
    <w:pPr>
      <w:pStyle w:val="Footer"/>
      <w:tabs>
        <w:tab w:val="center" w:pos="4678"/>
        <w:tab w:val="right" w:pos="9639"/>
      </w:tabs>
      <w:rPr>
        <w:i/>
        <w:sz w:val="12"/>
        <w:szCs w:val="12"/>
      </w:rPr>
    </w:pPr>
    <w:r w:rsidRPr="00EC31D8">
      <w:rPr>
        <w:i/>
        <w:sz w:val="12"/>
        <w:szCs w:val="12"/>
      </w:rPr>
      <w:t xml:space="preserve">Issue Date: </w:t>
    </w:r>
    <w:r w:rsidR="00DC6B3C">
      <w:rPr>
        <w:i/>
        <w:sz w:val="12"/>
        <w:szCs w:val="12"/>
      </w:rPr>
      <w:t>Dec 2022</w:t>
    </w:r>
    <w:r w:rsidRPr="00EC31D8">
      <w:rPr>
        <w:i/>
        <w:sz w:val="12"/>
        <w:szCs w:val="12"/>
      </w:rPr>
      <w:tab/>
    </w:r>
    <w:r w:rsidR="00F920B2">
      <w:rPr>
        <w:i/>
        <w:sz w:val="12"/>
        <w:szCs w:val="12"/>
      </w:rPr>
      <w:tab/>
    </w:r>
    <w:r w:rsidR="00F920B2">
      <w:rPr>
        <w:i/>
        <w:sz w:val="12"/>
        <w:szCs w:val="12"/>
      </w:rPr>
      <w:tab/>
    </w:r>
    <w:r w:rsidRPr="00EC31D8">
      <w:rPr>
        <w:i/>
        <w:sz w:val="12"/>
        <w:szCs w:val="12"/>
      </w:rPr>
      <w:t>Approved by: STL Boar</w:t>
    </w:r>
    <w:r w:rsidR="00F920B2">
      <w:rPr>
        <w:i/>
        <w:sz w:val="12"/>
        <w:szCs w:val="12"/>
      </w:rPr>
      <w:t>d</w:t>
    </w:r>
  </w:p>
  <w:p w14:paraId="6EE72A31" w14:textId="264EBE36" w:rsidR="00090BB0" w:rsidRPr="00BE0508" w:rsidRDefault="00224ED9" w:rsidP="00BE0508">
    <w:pPr>
      <w:pStyle w:val="Footer"/>
      <w:tabs>
        <w:tab w:val="right" w:pos="9639"/>
      </w:tabs>
      <w:rPr>
        <w:rStyle w:val="IntenseEmphasis"/>
        <w:bCs w:val="0"/>
        <w:i/>
        <w:iCs w:val="0"/>
        <w:color w:val="000000"/>
        <w:sz w:val="12"/>
        <w:szCs w:val="12"/>
      </w:rPr>
    </w:pPr>
    <w:r w:rsidRPr="00EC31D8">
      <w:rPr>
        <w:i/>
        <w:sz w:val="12"/>
        <w:szCs w:val="12"/>
      </w:rPr>
      <w:t xml:space="preserve">Review Date: </w:t>
    </w:r>
    <w:r w:rsidR="00DC6B3C">
      <w:rPr>
        <w:i/>
        <w:sz w:val="12"/>
        <w:szCs w:val="12"/>
      </w:rPr>
      <w:t>Dec 2024</w:t>
    </w:r>
    <w:r w:rsidRPr="00EC31D8">
      <w:rPr>
        <w:i/>
        <w:sz w:val="12"/>
        <w:szCs w:val="12"/>
      </w:rPr>
      <w:tab/>
    </w:r>
    <w:r w:rsidR="00F920B2">
      <w:rPr>
        <w:i/>
        <w:sz w:val="12"/>
        <w:szCs w:val="12"/>
      </w:rPr>
      <w:tab/>
    </w:r>
    <w:r w:rsidRPr="00EC31D8">
      <w:rPr>
        <w:i/>
        <w:noProof/>
        <w:sz w:val="12"/>
        <w:szCs w:val="12"/>
      </w:rPr>
      <w:t xml:space="preserve">Page </w:t>
    </w:r>
    <w:r w:rsidRPr="00EC31D8">
      <w:rPr>
        <w:b/>
        <w:bCs/>
        <w:i/>
        <w:noProof/>
        <w:sz w:val="12"/>
        <w:szCs w:val="12"/>
      </w:rPr>
      <w:fldChar w:fldCharType="begin"/>
    </w:r>
    <w:r w:rsidRPr="00EC31D8">
      <w:rPr>
        <w:b/>
        <w:bCs/>
        <w:i/>
        <w:noProof/>
        <w:sz w:val="12"/>
        <w:szCs w:val="12"/>
      </w:rPr>
      <w:instrText xml:space="preserve"> PAGE  \* Arabic  \* MERGEFORMAT </w:instrText>
    </w:r>
    <w:r w:rsidRPr="00EC31D8">
      <w:rPr>
        <w:b/>
        <w:bCs/>
        <w:i/>
        <w:noProof/>
        <w:sz w:val="12"/>
        <w:szCs w:val="12"/>
      </w:rPr>
      <w:fldChar w:fldCharType="separate"/>
    </w:r>
    <w:r w:rsidRPr="00EC31D8">
      <w:rPr>
        <w:b/>
        <w:bCs/>
        <w:i/>
        <w:noProof/>
        <w:sz w:val="12"/>
        <w:szCs w:val="12"/>
      </w:rPr>
      <w:t>1</w:t>
    </w:r>
    <w:r w:rsidRPr="00EC31D8">
      <w:rPr>
        <w:b/>
        <w:bCs/>
        <w:i/>
        <w:noProof/>
        <w:sz w:val="12"/>
        <w:szCs w:val="12"/>
      </w:rPr>
      <w:fldChar w:fldCharType="end"/>
    </w:r>
    <w:r w:rsidRPr="00EC31D8">
      <w:rPr>
        <w:i/>
        <w:noProof/>
        <w:sz w:val="12"/>
        <w:szCs w:val="12"/>
      </w:rPr>
      <w:t xml:space="preserve"> of </w:t>
    </w:r>
    <w:r w:rsidRPr="00EC31D8">
      <w:rPr>
        <w:b/>
        <w:bCs/>
        <w:i/>
        <w:noProof/>
        <w:sz w:val="12"/>
        <w:szCs w:val="12"/>
      </w:rPr>
      <w:fldChar w:fldCharType="begin"/>
    </w:r>
    <w:r w:rsidRPr="00EC31D8">
      <w:rPr>
        <w:b/>
        <w:bCs/>
        <w:i/>
        <w:noProof/>
        <w:sz w:val="12"/>
        <w:szCs w:val="12"/>
      </w:rPr>
      <w:instrText xml:space="preserve"> NUMPAGES  \* Arabic  \* MERGEFORMAT </w:instrText>
    </w:r>
    <w:r w:rsidRPr="00EC31D8">
      <w:rPr>
        <w:b/>
        <w:bCs/>
        <w:i/>
        <w:noProof/>
        <w:sz w:val="12"/>
        <w:szCs w:val="12"/>
      </w:rPr>
      <w:fldChar w:fldCharType="separate"/>
    </w:r>
    <w:r w:rsidRPr="00EC31D8">
      <w:rPr>
        <w:b/>
        <w:bCs/>
        <w:i/>
        <w:noProof/>
        <w:sz w:val="12"/>
        <w:szCs w:val="12"/>
      </w:rPr>
      <w:t>7</w:t>
    </w:r>
    <w:r w:rsidRPr="00EC31D8">
      <w:rPr>
        <w:b/>
        <w:bCs/>
        <w:i/>
        <w:noProof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D54D" w14:textId="4865708E" w:rsidR="00090BB0" w:rsidRDefault="00090BB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65E2" w14:textId="77777777" w:rsidR="003136DE" w:rsidRDefault="003136DE" w:rsidP="003613B7"/>
  </w:footnote>
  <w:footnote w:type="continuationSeparator" w:id="0">
    <w:p w14:paraId="71B4991A" w14:textId="77777777" w:rsidR="003136DE" w:rsidRDefault="003136DE" w:rsidP="003613B7">
      <w:r>
        <w:continuationSeparator/>
      </w:r>
    </w:p>
  </w:footnote>
  <w:footnote w:type="continuationNotice" w:id="1">
    <w:p w14:paraId="35CB7B42" w14:textId="77777777" w:rsidR="003136DE" w:rsidRDefault="00313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7BA5" w14:textId="77777777" w:rsidR="00090BB0" w:rsidRPr="008D5321" w:rsidRDefault="00090BB0" w:rsidP="008D5321">
    <w:pPr>
      <w:pStyle w:val="Header"/>
      <w:pBdr>
        <w:bottom w:val="single" w:sz="4" w:space="1" w:color="auto"/>
      </w:pBdr>
      <w:tabs>
        <w:tab w:val="right" w:pos="9072"/>
      </w:tabs>
      <w:rPr>
        <w:sz w:val="18"/>
        <w:szCs w:val="20"/>
      </w:rPr>
    </w:pPr>
    <w:r>
      <w:rPr>
        <w:noProof/>
        <w:sz w:val="18"/>
        <w:szCs w:val="20"/>
      </w:rPr>
      <w:t>Sugar Terminals Limited</w:t>
    </w:r>
    <w:r w:rsidRPr="008D5321">
      <w:rPr>
        <w:noProof/>
        <w:sz w:val="18"/>
        <w:szCs w:val="20"/>
      </w:rPr>
      <w:tab/>
    </w:r>
    <w:r w:rsidRPr="008D5321">
      <w:rPr>
        <w:noProof/>
        <w:sz w:val="18"/>
        <w:szCs w:val="20"/>
      </w:rPr>
      <w:tab/>
    </w:r>
    <w:r>
      <w:rPr>
        <w:noProof/>
        <w:sz w:val="18"/>
        <w:szCs w:val="20"/>
      </w:rPr>
      <w:t>Board Charter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457"/>
    <w:multiLevelType w:val="hybridMultilevel"/>
    <w:tmpl w:val="E4E82414"/>
    <w:lvl w:ilvl="0" w:tplc="0409000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1" w15:restartNumberingAfterBreak="0">
    <w:nsid w:val="12142C75"/>
    <w:multiLevelType w:val="hybridMultilevel"/>
    <w:tmpl w:val="5B8C6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C040C2"/>
    <w:multiLevelType w:val="hybridMultilevel"/>
    <w:tmpl w:val="E618A20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8D42FCE"/>
    <w:multiLevelType w:val="hybridMultilevel"/>
    <w:tmpl w:val="5FDC13CE"/>
    <w:lvl w:ilvl="0" w:tplc="61BA7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D5EA6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3C1D"/>
    <w:multiLevelType w:val="hybridMultilevel"/>
    <w:tmpl w:val="31001AD2"/>
    <w:lvl w:ilvl="0" w:tplc="BA2E0890">
      <w:start w:val="237"/>
      <w:numFmt w:val="bullet"/>
      <w:pStyle w:val="ToolkitList2"/>
      <w:lvlText w:val="–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2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206485"/>
    <w:multiLevelType w:val="hybridMultilevel"/>
    <w:tmpl w:val="55A890B8"/>
    <w:lvl w:ilvl="0" w:tplc="A0BCD7A2">
      <w:start w:val="1"/>
      <w:numFmt w:val="bullet"/>
      <w:pStyle w:val="Bullet1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639CBD82">
      <w:start w:val="1"/>
      <w:numFmt w:val="bullet"/>
      <w:pStyle w:val="Bullet2"/>
      <w:lvlText w:val="–"/>
      <w:lvlJc w:val="left"/>
      <w:pPr>
        <w:ind w:left="1790" w:hanging="360"/>
      </w:pPr>
      <w:rPr>
        <w:rFonts w:ascii="Times New Roman" w:hAnsi="Times New Roman" w:cs="Times New Roman" w:hint="default"/>
        <w:color w:val="auto"/>
      </w:rPr>
    </w:lvl>
    <w:lvl w:ilvl="2" w:tplc="92D46850">
      <w:start w:val="1"/>
      <w:numFmt w:val="bullet"/>
      <w:pStyle w:val="Bullet20"/>
      <w:lvlText w:val="–"/>
      <w:lvlJc w:val="left"/>
      <w:pPr>
        <w:ind w:left="2510" w:hanging="360"/>
      </w:pPr>
      <w:rPr>
        <w:rFonts w:ascii="Times New Roman" w:hAnsi="Times New Roman" w:cs="Times New Roman" w:hint="default"/>
        <w:color w:val="auto"/>
      </w:rPr>
    </w:lvl>
    <w:lvl w:ilvl="3" w:tplc="88B28782">
      <w:start w:val="1"/>
      <w:numFmt w:val="bullet"/>
      <w:pStyle w:val="Bullet3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CF76709"/>
    <w:multiLevelType w:val="hybridMultilevel"/>
    <w:tmpl w:val="231E9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76D65"/>
    <w:multiLevelType w:val="hybridMultilevel"/>
    <w:tmpl w:val="8ED866A6"/>
    <w:lvl w:ilvl="0" w:tplc="27347C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35E5FD0"/>
    <w:multiLevelType w:val="hybridMultilevel"/>
    <w:tmpl w:val="F3940FE4"/>
    <w:lvl w:ilvl="0" w:tplc="F4B2D656">
      <w:start w:val="1"/>
      <w:numFmt w:val="bullet"/>
      <w:pStyle w:val="List1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17A803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1AD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38E6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8B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D81A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05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66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6446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05344"/>
    <w:multiLevelType w:val="hybridMultilevel"/>
    <w:tmpl w:val="FC3E8518"/>
    <w:lvl w:ilvl="0" w:tplc="51E08BE0">
      <w:start w:val="1"/>
      <w:numFmt w:val="decimal"/>
      <w:pStyle w:val="Numberedlist1"/>
      <w:lvlText w:val="%1."/>
      <w:lvlJc w:val="left"/>
      <w:pPr>
        <w:ind w:left="199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826EE8">
      <w:start w:val="1"/>
      <w:numFmt w:val="lowerLetter"/>
      <w:pStyle w:val="Numberedlist2"/>
      <w:lvlText w:val="%2."/>
      <w:lvlJc w:val="left"/>
      <w:pPr>
        <w:ind w:left="2716" w:hanging="360"/>
      </w:pPr>
    </w:lvl>
    <w:lvl w:ilvl="2" w:tplc="C16CDFC8">
      <w:start w:val="1"/>
      <w:numFmt w:val="lowerRoman"/>
      <w:pStyle w:val="Numberedlist3"/>
      <w:lvlText w:val="%3."/>
      <w:lvlJc w:val="right"/>
      <w:pPr>
        <w:ind w:left="3436" w:hanging="180"/>
      </w:pPr>
    </w:lvl>
    <w:lvl w:ilvl="3" w:tplc="0C09000F" w:tentative="1">
      <w:start w:val="1"/>
      <w:numFmt w:val="decimal"/>
      <w:lvlText w:val="%4."/>
      <w:lvlJc w:val="left"/>
      <w:pPr>
        <w:ind w:left="4156" w:hanging="360"/>
      </w:pPr>
    </w:lvl>
    <w:lvl w:ilvl="4" w:tplc="0C090019" w:tentative="1">
      <w:start w:val="1"/>
      <w:numFmt w:val="lowerLetter"/>
      <w:lvlText w:val="%5."/>
      <w:lvlJc w:val="left"/>
      <w:pPr>
        <w:ind w:left="4876" w:hanging="360"/>
      </w:pPr>
    </w:lvl>
    <w:lvl w:ilvl="5" w:tplc="0C09001B" w:tentative="1">
      <w:start w:val="1"/>
      <w:numFmt w:val="lowerRoman"/>
      <w:lvlText w:val="%6."/>
      <w:lvlJc w:val="right"/>
      <w:pPr>
        <w:ind w:left="5596" w:hanging="180"/>
      </w:pPr>
    </w:lvl>
    <w:lvl w:ilvl="6" w:tplc="0C09000F" w:tentative="1">
      <w:start w:val="1"/>
      <w:numFmt w:val="decimal"/>
      <w:lvlText w:val="%7."/>
      <w:lvlJc w:val="left"/>
      <w:pPr>
        <w:ind w:left="6316" w:hanging="360"/>
      </w:pPr>
    </w:lvl>
    <w:lvl w:ilvl="7" w:tplc="0C090019" w:tentative="1">
      <w:start w:val="1"/>
      <w:numFmt w:val="lowerLetter"/>
      <w:lvlText w:val="%8."/>
      <w:lvlJc w:val="left"/>
      <w:pPr>
        <w:ind w:left="7036" w:hanging="360"/>
      </w:pPr>
    </w:lvl>
    <w:lvl w:ilvl="8" w:tplc="0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40414199"/>
    <w:multiLevelType w:val="hybridMultilevel"/>
    <w:tmpl w:val="7ACA2A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563B6"/>
    <w:multiLevelType w:val="multilevel"/>
    <w:tmpl w:val="0CA44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8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8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1931AB2"/>
    <w:multiLevelType w:val="hybridMultilevel"/>
    <w:tmpl w:val="05502A7E"/>
    <w:lvl w:ilvl="0" w:tplc="B04492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D6C0445"/>
    <w:multiLevelType w:val="hybridMultilevel"/>
    <w:tmpl w:val="E4CE724A"/>
    <w:lvl w:ilvl="0" w:tplc="4664E1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6E4766F2"/>
    <w:multiLevelType w:val="hybridMultilevel"/>
    <w:tmpl w:val="FB884F9A"/>
    <w:lvl w:ilvl="0" w:tplc="E5DA9B36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82940"/>
    <w:multiLevelType w:val="hybridMultilevel"/>
    <w:tmpl w:val="3E4404F6"/>
    <w:lvl w:ilvl="0" w:tplc="A3AECE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9D64A33"/>
    <w:multiLevelType w:val="hybridMultilevel"/>
    <w:tmpl w:val="A79A71DA"/>
    <w:lvl w:ilvl="0" w:tplc="245643E4">
      <w:start w:val="1"/>
      <w:numFmt w:val="decimal"/>
      <w:pStyle w:val="Numbered1"/>
      <w:lvlText w:val="%1."/>
      <w:lvlJc w:val="left"/>
      <w:pPr>
        <w:ind w:left="720" w:hanging="360"/>
      </w:pPr>
    </w:lvl>
    <w:lvl w:ilvl="1" w:tplc="40709DE6">
      <w:start w:val="1"/>
      <w:numFmt w:val="lowerLetter"/>
      <w:pStyle w:val="Numbered2"/>
      <w:lvlText w:val="%2."/>
      <w:lvlJc w:val="left"/>
      <w:pPr>
        <w:ind w:left="1440" w:hanging="360"/>
      </w:pPr>
    </w:lvl>
    <w:lvl w:ilvl="2" w:tplc="F4EEF1E8">
      <w:start w:val="1"/>
      <w:numFmt w:val="lowerRoman"/>
      <w:pStyle w:val="Numbered3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4563C"/>
    <w:multiLevelType w:val="hybridMultilevel"/>
    <w:tmpl w:val="053ADDE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490606930">
    <w:abstractNumId w:val="15"/>
  </w:num>
  <w:num w:numId="2" w16cid:durableId="1742870590">
    <w:abstractNumId w:val="0"/>
  </w:num>
  <w:num w:numId="3" w16cid:durableId="1760178641">
    <w:abstractNumId w:val="12"/>
  </w:num>
  <w:num w:numId="4" w16cid:durableId="1798907748">
    <w:abstractNumId w:val="7"/>
  </w:num>
  <w:num w:numId="5" w16cid:durableId="802237987">
    <w:abstractNumId w:val="11"/>
  </w:num>
  <w:num w:numId="6" w16cid:durableId="1659965835">
    <w:abstractNumId w:val="2"/>
  </w:num>
  <w:num w:numId="7" w16cid:durableId="934484137">
    <w:abstractNumId w:val="17"/>
  </w:num>
  <w:num w:numId="8" w16cid:durableId="1266502674">
    <w:abstractNumId w:val="13"/>
  </w:num>
  <w:num w:numId="9" w16cid:durableId="1375615799">
    <w:abstractNumId w:val="5"/>
  </w:num>
  <w:num w:numId="10" w16cid:durableId="1330016873">
    <w:abstractNumId w:val="14"/>
  </w:num>
  <w:num w:numId="11" w16cid:durableId="1750955527">
    <w:abstractNumId w:val="5"/>
    <w:lvlOverride w:ilvl="0">
      <w:startOverride w:val="1"/>
    </w:lvlOverride>
  </w:num>
  <w:num w:numId="12" w16cid:durableId="1026518292">
    <w:abstractNumId w:val="10"/>
  </w:num>
  <w:num w:numId="13" w16cid:durableId="1532180895">
    <w:abstractNumId w:val="16"/>
  </w:num>
  <w:num w:numId="14" w16cid:durableId="1065567559">
    <w:abstractNumId w:val="9"/>
  </w:num>
  <w:num w:numId="15" w16cid:durableId="571936637">
    <w:abstractNumId w:val="3"/>
  </w:num>
  <w:num w:numId="16" w16cid:durableId="1158502482">
    <w:abstractNumId w:val="8"/>
  </w:num>
  <w:num w:numId="17" w16cid:durableId="1071662216">
    <w:abstractNumId w:val="4"/>
  </w:num>
  <w:num w:numId="18" w16cid:durableId="1083456389">
    <w:abstractNumId w:val="1"/>
  </w:num>
  <w:num w:numId="19" w16cid:durableId="12600259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b813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CD"/>
    <w:rsid w:val="00002829"/>
    <w:rsid w:val="000137BE"/>
    <w:rsid w:val="00014144"/>
    <w:rsid w:val="0002164B"/>
    <w:rsid w:val="00031C4D"/>
    <w:rsid w:val="000332F0"/>
    <w:rsid w:val="00051148"/>
    <w:rsid w:val="00052AF6"/>
    <w:rsid w:val="00090BB0"/>
    <w:rsid w:val="000A184D"/>
    <w:rsid w:val="000A1A6E"/>
    <w:rsid w:val="000C5B38"/>
    <w:rsid w:val="000C6AC2"/>
    <w:rsid w:val="000F47A4"/>
    <w:rsid w:val="000F4F56"/>
    <w:rsid w:val="00106F7A"/>
    <w:rsid w:val="00120F85"/>
    <w:rsid w:val="001275A3"/>
    <w:rsid w:val="00144EE4"/>
    <w:rsid w:val="00150825"/>
    <w:rsid w:val="00150C68"/>
    <w:rsid w:val="00160B18"/>
    <w:rsid w:val="0016265B"/>
    <w:rsid w:val="00165B7F"/>
    <w:rsid w:val="001672BF"/>
    <w:rsid w:val="00170E69"/>
    <w:rsid w:val="0018041E"/>
    <w:rsid w:val="00196565"/>
    <w:rsid w:val="001B6793"/>
    <w:rsid w:val="001D07AB"/>
    <w:rsid w:val="001D12EF"/>
    <w:rsid w:val="001D5166"/>
    <w:rsid w:val="001E5600"/>
    <w:rsid w:val="001E6968"/>
    <w:rsid w:val="001F30C3"/>
    <w:rsid w:val="00202D18"/>
    <w:rsid w:val="00211590"/>
    <w:rsid w:val="0022005B"/>
    <w:rsid w:val="00222C5B"/>
    <w:rsid w:val="00224ED9"/>
    <w:rsid w:val="0022623F"/>
    <w:rsid w:val="00232FC3"/>
    <w:rsid w:val="0025552F"/>
    <w:rsid w:val="002615ED"/>
    <w:rsid w:val="00262C94"/>
    <w:rsid w:val="0028338D"/>
    <w:rsid w:val="002A6F7E"/>
    <w:rsid w:val="002B34B2"/>
    <w:rsid w:val="002B459F"/>
    <w:rsid w:val="002D2BB5"/>
    <w:rsid w:val="002D77F7"/>
    <w:rsid w:val="002F36C6"/>
    <w:rsid w:val="002F626B"/>
    <w:rsid w:val="002F75C1"/>
    <w:rsid w:val="0030358B"/>
    <w:rsid w:val="003136DE"/>
    <w:rsid w:val="00317FC2"/>
    <w:rsid w:val="0033704E"/>
    <w:rsid w:val="00344E65"/>
    <w:rsid w:val="0034598F"/>
    <w:rsid w:val="00354344"/>
    <w:rsid w:val="00354734"/>
    <w:rsid w:val="003613B7"/>
    <w:rsid w:val="00361A08"/>
    <w:rsid w:val="00361D30"/>
    <w:rsid w:val="00364024"/>
    <w:rsid w:val="003708D9"/>
    <w:rsid w:val="00372A9A"/>
    <w:rsid w:val="003A4C1A"/>
    <w:rsid w:val="003B43C1"/>
    <w:rsid w:val="003B7DE9"/>
    <w:rsid w:val="003C0419"/>
    <w:rsid w:val="003C75DB"/>
    <w:rsid w:val="003E0A78"/>
    <w:rsid w:val="003E0D2F"/>
    <w:rsid w:val="003E7760"/>
    <w:rsid w:val="003F369F"/>
    <w:rsid w:val="003F5BD5"/>
    <w:rsid w:val="004100FB"/>
    <w:rsid w:val="004656AB"/>
    <w:rsid w:val="00480B36"/>
    <w:rsid w:val="00482CBD"/>
    <w:rsid w:val="004908C1"/>
    <w:rsid w:val="00492902"/>
    <w:rsid w:val="004B14AD"/>
    <w:rsid w:val="004B2A83"/>
    <w:rsid w:val="004C07DB"/>
    <w:rsid w:val="004C294E"/>
    <w:rsid w:val="004C4455"/>
    <w:rsid w:val="004C5261"/>
    <w:rsid w:val="004C5DC8"/>
    <w:rsid w:val="004F2AF1"/>
    <w:rsid w:val="004F3542"/>
    <w:rsid w:val="004F4903"/>
    <w:rsid w:val="004F717F"/>
    <w:rsid w:val="0050087A"/>
    <w:rsid w:val="005132FA"/>
    <w:rsid w:val="00522627"/>
    <w:rsid w:val="005255DE"/>
    <w:rsid w:val="00532798"/>
    <w:rsid w:val="0053498B"/>
    <w:rsid w:val="0056303A"/>
    <w:rsid w:val="00567800"/>
    <w:rsid w:val="00573362"/>
    <w:rsid w:val="00573431"/>
    <w:rsid w:val="005839AC"/>
    <w:rsid w:val="005B3442"/>
    <w:rsid w:val="005C21EE"/>
    <w:rsid w:val="005D0EE3"/>
    <w:rsid w:val="005D7FD3"/>
    <w:rsid w:val="005E1A30"/>
    <w:rsid w:val="00607DD5"/>
    <w:rsid w:val="00610A18"/>
    <w:rsid w:val="00610CD2"/>
    <w:rsid w:val="00633093"/>
    <w:rsid w:val="00644CFD"/>
    <w:rsid w:val="00651985"/>
    <w:rsid w:val="00687FDF"/>
    <w:rsid w:val="00693E24"/>
    <w:rsid w:val="006A395A"/>
    <w:rsid w:val="006A74F4"/>
    <w:rsid w:val="006B4225"/>
    <w:rsid w:val="006B78E4"/>
    <w:rsid w:val="006D4D33"/>
    <w:rsid w:val="006E1B3D"/>
    <w:rsid w:val="006E7736"/>
    <w:rsid w:val="006F1C76"/>
    <w:rsid w:val="00720D2F"/>
    <w:rsid w:val="00723CB1"/>
    <w:rsid w:val="007267E8"/>
    <w:rsid w:val="0073018C"/>
    <w:rsid w:val="00731684"/>
    <w:rsid w:val="00751F64"/>
    <w:rsid w:val="007536BA"/>
    <w:rsid w:val="00754F24"/>
    <w:rsid w:val="00757304"/>
    <w:rsid w:val="00761A3E"/>
    <w:rsid w:val="007749B8"/>
    <w:rsid w:val="007827A8"/>
    <w:rsid w:val="007A462F"/>
    <w:rsid w:val="007C1976"/>
    <w:rsid w:val="007C3961"/>
    <w:rsid w:val="007E2A39"/>
    <w:rsid w:val="007E46F8"/>
    <w:rsid w:val="007E5B67"/>
    <w:rsid w:val="007F3096"/>
    <w:rsid w:val="00800CFA"/>
    <w:rsid w:val="008174DB"/>
    <w:rsid w:val="00837CD0"/>
    <w:rsid w:val="00842836"/>
    <w:rsid w:val="00845C41"/>
    <w:rsid w:val="00862332"/>
    <w:rsid w:val="00865E5F"/>
    <w:rsid w:val="008676A8"/>
    <w:rsid w:val="00871ABC"/>
    <w:rsid w:val="0088463B"/>
    <w:rsid w:val="008935E1"/>
    <w:rsid w:val="008A118D"/>
    <w:rsid w:val="008B1598"/>
    <w:rsid w:val="008C27BE"/>
    <w:rsid w:val="008D171C"/>
    <w:rsid w:val="008D4148"/>
    <w:rsid w:val="008D5321"/>
    <w:rsid w:val="008E1F12"/>
    <w:rsid w:val="008E37B6"/>
    <w:rsid w:val="008E62EE"/>
    <w:rsid w:val="008F142F"/>
    <w:rsid w:val="008F1FB8"/>
    <w:rsid w:val="008F6CE2"/>
    <w:rsid w:val="008F7BE0"/>
    <w:rsid w:val="00903241"/>
    <w:rsid w:val="00917655"/>
    <w:rsid w:val="00940DC8"/>
    <w:rsid w:val="009418E4"/>
    <w:rsid w:val="00952C08"/>
    <w:rsid w:val="00954B71"/>
    <w:rsid w:val="00974E94"/>
    <w:rsid w:val="00977F79"/>
    <w:rsid w:val="00982CD2"/>
    <w:rsid w:val="009853B9"/>
    <w:rsid w:val="00990E14"/>
    <w:rsid w:val="009B2BFF"/>
    <w:rsid w:val="009C256E"/>
    <w:rsid w:val="009C58C6"/>
    <w:rsid w:val="009D1D1D"/>
    <w:rsid w:val="009E474A"/>
    <w:rsid w:val="00A2338A"/>
    <w:rsid w:val="00A27849"/>
    <w:rsid w:val="00A314E2"/>
    <w:rsid w:val="00A41631"/>
    <w:rsid w:val="00A55DE7"/>
    <w:rsid w:val="00A80E7D"/>
    <w:rsid w:val="00A817F5"/>
    <w:rsid w:val="00A83FED"/>
    <w:rsid w:val="00A90D1E"/>
    <w:rsid w:val="00A90E24"/>
    <w:rsid w:val="00AA0617"/>
    <w:rsid w:val="00AB1A80"/>
    <w:rsid w:val="00AC0F08"/>
    <w:rsid w:val="00AC1E2B"/>
    <w:rsid w:val="00AE752A"/>
    <w:rsid w:val="00B0321B"/>
    <w:rsid w:val="00B27E01"/>
    <w:rsid w:val="00B34C15"/>
    <w:rsid w:val="00B456A0"/>
    <w:rsid w:val="00B47FF5"/>
    <w:rsid w:val="00B541E4"/>
    <w:rsid w:val="00B61298"/>
    <w:rsid w:val="00B6133F"/>
    <w:rsid w:val="00B72D83"/>
    <w:rsid w:val="00B84AC5"/>
    <w:rsid w:val="00B8547E"/>
    <w:rsid w:val="00B86161"/>
    <w:rsid w:val="00BA0E79"/>
    <w:rsid w:val="00BB76D6"/>
    <w:rsid w:val="00BC353A"/>
    <w:rsid w:val="00BC4CBF"/>
    <w:rsid w:val="00BD7976"/>
    <w:rsid w:val="00BD7BCD"/>
    <w:rsid w:val="00BE0508"/>
    <w:rsid w:val="00C00523"/>
    <w:rsid w:val="00C1697D"/>
    <w:rsid w:val="00C23239"/>
    <w:rsid w:val="00C262B2"/>
    <w:rsid w:val="00C3040C"/>
    <w:rsid w:val="00C34965"/>
    <w:rsid w:val="00C44224"/>
    <w:rsid w:val="00C469F3"/>
    <w:rsid w:val="00C500DD"/>
    <w:rsid w:val="00C57812"/>
    <w:rsid w:val="00C74771"/>
    <w:rsid w:val="00C85BFA"/>
    <w:rsid w:val="00C96086"/>
    <w:rsid w:val="00CA368A"/>
    <w:rsid w:val="00CA6E00"/>
    <w:rsid w:val="00CB50F8"/>
    <w:rsid w:val="00CC453A"/>
    <w:rsid w:val="00CD03C0"/>
    <w:rsid w:val="00CE1BD3"/>
    <w:rsid w:val="00CE4B74"/>
    <w:rsid w:val="00CF0C05"/>
    <w:rsid w:val="00D14022"/>
    <w:rsid w:val="00D20978"/>
    <w:rsid w:val="00D225AC"/>
    <w:rsid w:val="00D34E03"/>
    <w:rsid w:val="00D40444"/>
    <w:rsid w:val="00D44FFC"/>
    <w:rsid w:val="00D452CF"/>
    <w:rsid w:val="00D60876"/>
    <w:rsid w:val="00D744CD"/>
    <w:rsid w:val="00D82D1C"/>
    <w:rsid w:val="00D90886"/>
    <w:rsid w:val="00DA0A39"/>
    <w:rsid w:val="00DA52E0"/>
    <w:rsid w:val="00DB26A6"/>
    <w:rsid w:val="00DB5EFF"/>
    <w:rsid w:val="00DC5F1C"/>
    <w:rsid w:val="00DC6B3C"/>
    <w:rsid w:val="00DD1941"/>
    <w:rsid w:val="00DD305B"/>
    <w:rsid w:val="00E02867"/>
    <w:rsid w:val="00E0646E"/>
    <w:rsid w:val="00E107D9"/>
    <w:rsid w:val="00E10830"/>
    <w:rsid w:val="00E17F3F"/>
    <w:rsid w:val="00E30596"/>
    <w:rsid w:val="00E35C32"/>
    <w:rsid w:val="00E42954"/>
    <w:rsid w:val="00E46115"/>
    <w:rsid w:val="00E47900"/>
    <w:rsid w:val="00E66294"/>
    <w:rsid w:val="00E677BC"/>
    <w:rsid w:val="00E8120D"/>
    <w:rsid w:val="00E83271"/>
    <w:rsid w:val="00E86162"/>
    <w:rsid w:val="00E9651A"/>
    <w:rsid w:val="00E97081"/>
    <w:rsid w:val="00EA33D7"/>
    <w:rsid w:val="00EC31D8"/>
    <w:rsid w:val="00ED3772"/>
    <w:rsid w:val="00ED54E7"/>
    <w:rsid w:val="00ED55CB"/>
    <w:rsid w:val="00ED61E2"/>
    <w:rsid w:val="00ED6860"/>
    <w:rsid w:val="00EE3B77"/>
    <w:rsid w:val="00EE3F8C"/>
    <w:rsid w:val="00EE658C"/>
    <w:rsid w:val="00EF0E74"/>
    <w:rsid w:val="00EF48B5"/>
    <w:rsid w:val="00F17347"/>
    <w:rsid w:val="00F228EB"/>
    <w:rsid w:val="00F33C4D"/>
    <w:rsid w:val="00F35D47"/>
    <w:rsid w:val="00F630CE"/>
    <w:rsid w:val="00F842E0"/>
    <w:rsid w:val="00F8779B"/>
    <w:rsid w:val="00F919A8"/>
    <w:rsid w:val="00F920B2"/>
    <w:rsid w:val="00F93992"/>
    <w:rsid w:val="00F93CC0"/>
    <w:rsid w:val="00F93E54"/>
    <w:rsid w:val="00FD54C6"/>
    <w:rsid w:val="00FD7158"/>
    <w:rsid w:val="00FE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b8133"/>
    </o:shapedefaults>
    <o:shapelayout v:ext="edit">
      <o:idmap v:ext="edit" data="2"/>
    </o:shapelayout>
  </w:shapeDefaults>
  <w:decimalSymbol w:val="."/>
  <w:listSeparator w:val=","/>
  <w14:docId w14:val="6FD0DDAA"/>
  <w15:docId w15:val="{A8343FC9-80F0-4BBE-A5C5-DBA02136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N-Regular" w:eastAsiaTheme="minorEastAsia" w:hAnsi="DIN-Regular" w:cs="DIN-Regular"/>
        <w:color w:val="000000"/>
        <w:sz w:val="17"/>
        <w:szCs w:val="17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87FDF"/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590"/>
    <w:pPr>
      <w:keepNext/>
      <w:keepLines/>
      <w:spacing w:before="480" w:after="240" w:line="276" w:lineRule="auto"/>
      <w:outlineLvl w:val="0"/>
    </w:pPr>
    <w:rPr>
      <w:rFonts w:eastAsiaTheme="majorEastAsia" w:cstheme="majorBidi"/>
      <w:bCs/>
      <w:color w:val="262626" w:themeColor="text1" w:themeTint="D9"/>
      <w:sz w:val="40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FD3"/>
    <w:pPr>
      <w:keepNext/>
      <w:keepLines/>
      <w:spacing w:before="40"/>
      <w:outlineLvl w:val="4"/>
    </w:pPr>
    <w:rPr>
      <w:rFonts w:eastAsiaTheme="majorEastAsia" w:cstheme="majorBidi"/>
      <w:color w:val="24627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3613B7"/>
    <w:pPr>
      <w:widowControl w:val="0"/>
      <w:autoSpaceDE w:val="0"/>
      <w:autoSpaceDN w:val="0"/>
      <w:adjustRightInd w:val="0"/>
      <w:spacing w:line="276" w:lineRule="auto"/>
      <w:ind w:left="-567"/>
      <w:textAlignment w:val="center"/>
    </w:pPr>
    <w:rPr>
      <w:rFonts w:cs="Tahoma"/>
      <w:spacing w:val="4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4C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C15"/>
  </w:style>
  <w:style w:type="character" w:styleId="PageNumber">
    <w:name w:val="page number"/>
    <w:basedOn w:val="DefaultParagraphFont"/>
    <w:uiPriority w:val="99"/>
    <w:semiHidden/>
    <w:unhideWhenUsed/>
    <w:rsid w:val="00B34C15"/>
  </w:style>
  <w:style w:type="paragraph" w:styleId="Header">
    <w:name w:val="header"/>
    <w:basedOn w:val="Normal"/>
    <w:link w:val="HeaderChar"/>
    <w:uiPriority w:val="99"/>
    <w:unhideWhenUsed/>
    <w:rsid w:val="00E812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20D"/>
  </w:style>
  <w:style w:type="paragraph" w:styleId="BalloonText">
    <w:name w:val="Balloon Text"/>
    <w:basedOn w:val="Normal"/>
    <w:link w:val="BalloonTextChar"/>
    <w:uiPriority w:val="99"/>
    <w:semiHidden/>
    <w:unhideWhenUsed/>
    <w:rsid w:val="00E812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0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80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1590"/>
    <w:rPr>
      <w:rFonts w:asciiTheme="majorHAnsi" w:eastAsiaTheme="majorEastAsia" w:hAnsiTheme="majorHAnsi" w:cstheme="majorBidi"/>
      <w:bCs/>
      <w:color w:val="262626" w:themeColor="text1" w:themeTint="D9"/>
      <w:sz w:val="40"/>
      <w:szCs w:val="28"/>
    </w:rPr>
  </w:style>
  <w:style w:type="paragraph" w:customStyle="1" w:styleId="Bullet1">
    <w:name w:val="Bullet 1"/>
    <w:basedOn w:val="BasicParagraph"/>
    <w:link w:val="Bullet1Char"/>
    <w:qFormat/>
    <w:rsid w:val="00522627"/>
    <w:pPr>
      <w:numPr>
        <w:numId w:val="9"/>
      </w:numPr>
      <w:spacing w:after="200"/>
      <w:ind w:left="714" w:hanging="357"/>
      <w:contextualSpacing/>
    </w:pPr>
  </w:style>
  <w:style w:type="paragraph" w:customStyle="1" w:styleId="Bullet2">
    <w:name w:val="Bullet 2"/>
    <w:basedOn w:val="Normal"/>
    <w:link w:val="Bullet2Char"/>
    <w:qFormat/>
    <w:rsid w:val="00F33C4D"/>
    <w:pPr>
      <w:numPr>
        <w:ilvl w:val="1"/>
        <w:numId w:val="9"/>
      </w:numPr>
      <w:spacing w:after="200"/>
      <w:ind w:left="1786" w:hanging="357"/>
    </w:pPr>
  </w:style>
  <w:style w:type="character" w:customStyle="1" w:styleId="BasicParagraphChar">
    <w:name w:val="[Basic Paragraph] Char"/>
    <w:basedOn w:val="DefaultParagraphFont"/>
    <w:link w:val="BasicParagraph"/>
    <w:uiPriority w:val="99"/>
    <w:rsid w:val="003613B7"/>
    <w:rPr>
      <w:rFonts w:asciiTheme="majorHAnsi" w:hAnsiTheme="majorHAnsi" w:cs="Tahoma"/>
      <w:spacing w:val="4"/>
      <w:sz w:val="22"/>
      <w:szCs w:val="22"/>
      <w:lang w:val="en-GB"/>
    </w:rPr>
  </w:style>
  <w:style w:type="character" w:customStyle="1" w:styleId="Bullet1Char">
    <w:name w:val="Bullet 1 Char"/>
    <w:basedOn w:val="BasicParagraphChar"/>
    <w:link w:val="Bullet1"/>
    <w:rsid w:val="00522627"/>
    <w:rPr>
      <w:rFonts w:asciiTheme="majorHAnsi" w:hAnsiTheme="majorHAnsi" w:cs="Tahoma"/>
      <w:spacing w:val="4"/>
      <w:sz w:val="22"/>
      <w:szCs w:val="22"/>
      <w:lang w:val="en-GB"/>
    </w:rPr>
  </w:style>
  <w:style w:type="paragraph" w:customStyle="1" w:styleId="NormalText">
    <w:name w:val="Normal Text"/>
    <w:basedOn w:val="BasicParagraph"/>
    <w:link w:val="NormalTextChar"/>
    <w:qFormat/>
    <w:rsid w:val="00DB26A6"/>
    <w:pPr>
      <w:spacing w:after="200"/>
      <w:ind w:left="0"/>
    </w:pPr>
    <w:rPr>
      <w:rFonts w:asciiTheme="minorHAnsi" w:hAnsiTheme="minorHAnsi"/>
    </w:rPr>
  </w:style>
  <w:style w:type="paragraph" w:customStyle="1" w:styleId="Style2">
    <w:name w:val="Style 2"/>
    <w:basedOn w:val="Heading1"/>
    <w:link w:val="Style2Char"/>
    <w:rsid w:val="003613B7"/>
    <w:rPr>
      <w:color w:val="595959" w:themeColor="text1" w:themeTint="A6"/>
      <w:sz w:val="34"/>
    </w:rPr>
  </w:style>
  <w:style w:type="character" w:customStyle="1" w:styleId="NormalTextChar">
    <w:name w:val="Normal Text Char"/>
    <w:basedOn w:val="BasicParagraphChar"/>
    <w:link w:val="NormalText"/>
    <w:rsid w:val="00DB26A6"/>
    <w:rPr>
      <w:rFonts w:asciiTheme="minorHAnsi" w:hAnsiTheme="minorHAnsi" w:cs="Tahoma"/>
      <w:spacing w:val="4"/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rsid w:val="003613B7"/>
    <w:rPr>
      <w:i/>
      <w:iCs/>
      <w:color w:val="000000" w:themeColor="text1"/>
    </w:rPr>
  </w:style>
  <w:style w:type="character" w:customStyle="1" w:styleId="Style2Char">
    <w:name w:val="Style 2 Char"/>
    <w:basedOn w:val="Heading1Char"/>
    <w:link w:val="Style2"/>
    <w:rsid w:val="003613B7"/>
    <w:rPr>
      <w:rFonts w:ascii="DIN-Bold" w:eastAsiaTheme="majorEastAsia" w:hAnsi="DIN-Bold" w:cstheme="majorBidi"/>
      <w:bCs/>
      <w:color w:val="595959" w:themeColor="text1" w:themeTint="A6"/>
      <w:sz w:val="34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3613B7"/>
    <w:rPr>
      <w:rFonts w:asciiTheme="majorHAnsi" w:hAnsiTheme="majorHAnsi"/>
      <w:i/>
      <w:iCs/>
      <w:color w:val="000000" w:themeColor="text1"/>
      <w:sz w:val="22"/>
    </w:rPr>
  </w:style>
  <w:style w:type="paragraph" w:customStyle="1" w:styleId="Heading2">
    <w:name w:val="Heading2"/>
    <w:basedOn w:val="Style2"/>
    <w:link w:val="Heading2Char"/>
    <w:qFormat/>
    <w:rsid w:val="003C0419"/>
    <w:rPr>
      <w:sz w:val="36"/>
    </w:rPr>
  </w:style>
  <w:style w:type="paragraph" w:customStyle="1" w:styleId="Heading3">
    <w:name w:val="Heading3"/>
    <w:basedOn w:val="Heading2"/>
    <w:link w:val="Heading3Char"/>
    <w:qFormat/>
    <w:rsid w:val="00DB26A6"/>
    <w:pPr>
      <w:spacing w:before="240" w:after="120"/>
    </w:pPr>
    <w:rPr>
      <w:i/>
      <w:sz w:val="32"/>
    </w:rPr>
  </w:style>
  <w:style w:type="character" w:customStyle="1" w:styleId="Heading2Char">
    <w:name w:val="Heading2 Char"/>
    <w:basedOn w:val="Style2Char"/>
    <w:link w:val="Heading2"/>
    <w:rsid w:val="003C0419"/>
    <w:rPr>
      <w:rFonts w:asciiTheme="majorHAnsi" w:eastAsiaTheme="majorEastAsia" w:hAnsiTheme="majorHAnsi" w:cstheme="majorBidi"/>
      <w:bCs/>
      <w:color w:val="595959" w:themeColor="text1" w:themeTint="A6"/>
      <w:sz w:val="36"/>
      <w:szCs w:val="28"/>
    </w:rPr>
  </w:style>
  <w:style w:type="paragraph" w:customStyle="1" w:styleId="Bullet20">
    <w:name w:val="Bullet2"/>
    <w:basedOn w:val="Bullet2"/>
    <w:link w:val="Bullet2Char0"/>
    <w:rsid w:val="00522627"/>
    <w:pPr>
      <w:numPr>
        <w:ilvl w:val="2"/>
      </w:numPr>
      <w:spacing w:line="276" w:lineRule="auto"/>
      <w:ind w:left="1003" w:hanging="357"/>
      <w:contextualSpacing/>
    </w:pPr>
  </w:style>
  <w:style w:type="character" w:customStyle="1" w:styleId="Heading3Char">
    <w:name w:val="Heading3 Char"/>
    <w:basedOn w:val="Heading2Char"/>
    <w:link w:val="Heading3"/>
    <w:rsid w:val="00DB26A6"/>
    <w:rPr>
      <w:rFonts w:asciiTheme="majorHAnsi" w:eastAsiaTheme="majorEastAsia" w:hAnsiTheme="majorHAnsi" w:cstheme="majorBidi"/>
      <w:bCs/>
      <w:i/>
      <w:color w:val="595959" w:themeColor="text1" w:themeTint="A6"/>
      <w:sz w:val="32"/>
      <w:szCs w:val="28"/>
    </w:rPr>
  </w:style>
  <w:style w:type="paragraph" w:customStyle="1" w:styleId="Bullet3">
    <w:name w:val="Bullet 3"/>
    <w:basedOn w:val="Bullet2"/>
    <w:link w:val="Bullet3Char"/>
    <w:qFormat/>
    <w:rsid w:val="00F33C4D"/>
    <w:pPr>
      <w:numPr>
        <w:ilvl w:val="3"/>
      </w:numPr>
      <w:spacing w:line="276" w:lineRule="auto"/>
      <w:ind w:left="2268" w:hanging="357"/>
      <w:contextualSpacing/>
    </w:pPr>
  </w:style>
  <w:style w:type="character" w:customStyle="1" w:styleId="Bullet2Char">
    <w:name w:val="Bullet 2 Char"/>
    <w:basedOn w:val="DefaultParagraphFont"/>
    <w:link w:val="Bullet2"/>
    <w:rsid w:val="00F33C4D"/>
    <w:rPr>
      <w:rFonts w:asciiTheme="majorHAnsi" w:hAnsiTheme="majorHAnsi"/>
      <w:sz w:val="22"/>
    </w:rPr>
  </w:style>
  <w:style w:type="character" w:customStyle="1" w:styleId="Bullet2Char0">
    <w:name w:val="Bullet2 Char"/>
    <w:basedOn w:val="Bullet2Char"/>
    <w:link w:val="Bullet20"/>
    <w:rsid w:val="00522627"/>
    <w:rPr>
      <w:rFonts w:asciiTheme="majorHAnsi" w:hAnsiTheme="majorHAnsi"/>
      <w:sz w:val="22"/>
    </w:rPr>
  </w:style>
  <w:style w:type="paragraph" w:customStyle="1" w:styleId="Numbered1">
    <w:name w:val="Numbered 1"/>
    <w:basedOn w:val="Bullet3"/>
    <w:link w:val="Numbered1Char"/>
    <w:qFormat/>
    <w:rsid w:val="00837CD0"/>
    <w:pPr>
      <w:numPr>
        <w:ilvl w:val="0"/>
        <w:numId w:val="13"/>
      </w:numPr>
      <w:ind w:left="862" w:hanging="425"/>
    </w:pPr>
  </w:style>
  <w:style w:type="character" w:customStyle="1" w:styleId="Bullet3Char">
    <w:name w:val="Bullet 3 Char"/>
    <w:basedOn w:val="Bullet2Char"/>
    <w:link w:val="Bullet3"/>
    <w:rsid w:val="00F33C4D"/>
    <w:rPr>
      <w:rFonts w:asciiTheme="majorHAnsi" w:hAnsiTheme="majorHAnsi"/>
      <w:sz w:val="22"/>
    </w:rPr>
  </w:style>
  <w:style w:type="paragraph" w:customStyle="1" w:styleId="Numbered2">
    <w:name w:val="Numbered 2"/>
    <w:basedOn w:val="Bullet3"/>
    <w:link w:val="Numbered2Char"/>
    <w:qFormat/>
    <w:rsid w:val="005B3442"/>
    <w:pPr>
      <w:numPr>
        <w:ilvl w:val="1"/>
        <w:numId w:val="13"/>
      </w:numPr>
      <w:ind w:left="1281" w:hanging="357"/>
    </w:pPr>
  </w:style>
  <w:style w:type="character" w:customStyle="1" w:styleId="Numbered1Char">
    <w:name w:val="Numbered 1 Char"/>
    <w:basedOn w:val="Bullet3Char"/>
    <w:link w:val="Numbered1"/>
    <w:rsid w:val="00837CD0"/>
    <w:rPr>
      <w:rFonts w:asciiTheme="majorHAnsi" w:hAnsiTheme="majorHAnsi"/>
      <w:sz w:val="22"/>
    </w:rPr>
  </w:style>
  <w:style w:type="paragraph" w:customStyle="1" w:styleId="Numbered3">
    <w:name w:val="Numbered 3"/>
    <w:basedOn w:val="Bullet3"/>
    <w:link w:val="Numbered3Char"/>
    <w:qFormat/>
    <w:rsid w:val="00372A9A"/>
    <w:pPr>
      <w:numPr>
        <w:ilvl w:val="2"/>
        <w:numId w:val="13"/>
      </w:numPr>
      <w:ind w:left="1786" w:hanging="357"/>
    </w:pPr>
  </w:style>
  <w:style w:type="character" w:customStyle="1" w:styleId="Numbered2Char">
    <w:name w:val="Numbered 2 Char"/>
    <w:basedOn w:val="Bullet3Char"/>
    <w:link w:val="Numbered2"/>
    <w:rsid w:val="005B3442"/>
    <w:rPr>
      <w:rFonts w:asciiTheme="majorHAnsi" w:hAnsiTheme="majorHAnsi"/>
      <w:sz w:val="22"/>
    </w:rPr>
  </w:style>
  <w:style w:type="paragraph" w:customStyle="1" w:styleId="Heading4">
    <w:name w:val="Heading4"/>
    <w:basedOn w:val="Heading3"/>
    <w:link w:val="Heading4Char"/>
    <w:qFormat/>
    <w:rsid w:val="007749B8"/>
    <w:rPr>
      <w:i w:val="0"/>
      <w:sz w:val="24"/>
    </w:rPr>
  </w:style>
  <w:style w:type="character" w:customStyle="1" w:styleId="Numbered3Char">
    <w:name w:val="Numbered 3 Char"/>
    <w:basedOn w:val="Bullet3Char"/>
    <w:link w:val="Numbered3"/>
    <w:rsid w:val="00372A9A"/>
    <w:rPr>
      <w:rFonts w:asciiTheme="majorHAnsi" w:hAnsiTheme="majorHAnsi"/>
      <w:sz w:val="22"/>
    </w:rPr>
  </w:style>
  <w:style w:type="paragraph" w:customStyle="1" w:styleId="TablesandFigures">
    <w:name w:val="Tables and Figures"/>
    <w:basedOn w:val="Normal"/>
    <w:link w:val="TablesandFiguresChar"/>
    <w:qFormat/>
    <w:rsid w:val="00F630CE"/>
    <w:pPr>
      <w:keepNext/>
      <w:keepLines/>
      <w:spacing w:before="240" w:after="120" w:line="276" w:lineRule="auto"/>
      <w:ind w:left="1276"/>
      <w:jc w:val="center"/>
    </w:pPr>
    <w:rPr>
      <w:rFonts w:asciiTheme="minorHAnsi" w:eastAsiaTheme="minorHAnsi" w:hAnsiTheme="minorHAnsi" w:cstheme="minorBidi"/>
      <w:b/>
      <w:color w:val="auto"/>
      <w:szCs w:val="22"/>
      <w:lang w:val="en-AU"/>
    </w:rPr>
  </w:style>
  <w:style w:type="character" w:customStyle="1" w:styleId="Heading4Char">
    <w:name w:val="Heading4 Char"/>
    <w:basedOn w:val="Heading3Char"/>
    <w:link w:val="Heading4"/>
    <w:rsid w:val="007749B8"/>
    <w:rPr>
      <w:rFonts w:ascii="DIN-Bold" w:eastAsiaTheme="majorEastAsia" w:hAnsi="DIN-Bold" w:cstheme="majorBidi"/>
      <w:bCs/>
      <w:i/>
      <w:color w:val="595959" w:themeColor="text1" w:themeTint="A6"/>
      <w:sz w:val="24"/>
      <w:szCs w:val="28"/>
    </w:rPr>
  </w:style>
  <w:style w:type="paragraph" w:customStyle="1" w:styleId="FigureHeading1">
    <w:name w:val="Figure Heading 1"/>
    <w:basedOn w:val="TablesandFigures"/>
    <w:link w:val="FigureHeading1Char"/>
    <w:qFormat/>
    <w:rsid w:val="00F630CE"/>
    <w:pPr>
      <w:ind w:left="0"/>
    </w:pPr>
    <w:rPr>
      <w:rFonts w:asciiTheme="majorHAnsi" w:hAnsiTheme="majorHAnsi"/>
      <w:color w:val="000000" w:themeColor="text1"/>
    </w:rPr>
  </w:style>
  <w:style w:type="paragraph" w:customStyle="1" w:styleId="CoverHeading">
    <w:name w:val="Cover Heading"/>
    <w:basedOn w:val="Heading1"/>
    <w:link w:val="CoverHeadingChar"/>
    <w:rsid w:val="00C1697D"/>
    <w:rPr>
      <w:color w:val="595959"/>
      <w:sz w:val="72"/>
    </w:rPr>
  </w:style>
  <w:style w:type="character" w:customStyle="1" w:styleId="TablesandFiguresChar">
    <w:name w:val="Tables and Figures Char"/>
    <w:basedOn w:val="DefaultParagraphFont"/>
    <w:link w:val="TablesandFigures"/>
    <w:rsid w:val="00F630CE"/>
    <w:rPr>
      <w:rFonts w:asciiTheme="minorHAnsi" w:eastAsiaTheme="minorHAnsi" w:hAnsiTheme="minorHAnsi" w:cstheme="minorBidi"/>
      <w:b/>
      <w:color w:val="auto"/>
      <w:sz w:val="22"/>
      <w:szCs w:val="22"/>
      <w:lang w:val="en-AU"/>
    </w:rPr>
  </w:style>
  <w:style w:type="character" w:customStyle="1" w:styleId="FigureHeading1Char">
    <w:name w:val="Figure Heading 1 Char"/>
    <w:basedOn w:val="TablesandFiguresChar"/>
    <w:link w:val="FigureHeading1"/>
    <w:rsid w:val="00F630CE"/>
    <w:rPr>
      <w:rFonts w:asciiTheme="minorHAnsi" w:eastAsiaTheme="minorHAnsi" w:hAnsiTheme="minorHAnsi" w:cstheme="minorBidi"/>
      <w:b/>
      <w:color w:val="auto"/>
      <w:sz w:val="22"/>
      <w:szCs w:val="22"/>
      <w:lang w:val="en-AU"/>
    </w:rPr>
  </w:style>
  <w:style w:type="character" w:customStyle="1" w:styleId="CoverHeadingChar">
    <w:name w:val="Cover Heading Char"/>
    <w:basedOn w:val="Heading1Char"/>
    <w:link w:val="CoverHeading"/>
    <w:rsid w:val="00C1697D"/>
    <w:rPr>
      <w:rFonts w:ascii="DIN-Bold" w:eastAsiaTheme="majorEastAsia" w:hAnsi="DIN-Bold" w:cstheme="majorBidi"/>
      <w:bCs/>
      <w:color w:val="595959"/>
      <w:sz w:val="72"/>
      <w:szCs w:val="28"/>
    </w:rPr>
  </w:style>
  <w:style w:type="character" w:styleId="IntenseEmphasis">
    <w:name w:val="Intense Emphasis"/>
    <w:basedOn w:val="DefaultParagraphFont"/>
    <w:uiPriority w:val="21"/>
    <w:qFormat/>
    <w:rsid w:val="00ED61E2"/>
    <w:rPr>
      <w:bCs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rsid w:val="00ED61E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20F85"/>
    <w:pPr>
      <w:spacing w:before="240" w:after="240"/>
    </w:pPr>
    <w:rPr>
      <w:rFonts w:eastAsiaTheme="majorEastAsia" w:cstheme="majorBidi"/>
      <w:color w:val="595959" w:themeColor="text1" w:themeTint="A6"/>
      <w:spacing w:val="5"/>
      <w:kern w:val="28"/>
      <w:sz w:val="56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20F85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56"/>
      <w:szCs w:val="52"/>
      <w:lang w:bidi="en-US"/>
    </w:rPr>
  </w:style>
  <w:style w:type="paragraph" w:customStyle="1" w:styleId="Numberedlist1">
    <w:name w:val="Numbered list 1"/>
    <w:basedOn w:val="ListParagraph"/>
    <w:qFormat/>
    <w:rsid w:val="007E2A39"/>
    <w:pPr>
      <w:numPr>
        <w:numId w:val="14"/>
      </w:numPr>
      <w:spacing w:after="200" w:line="276" w:lineRule="auto"/>
    </w:pPr>
    <w:rPr>
      <w:rFonts w:asciiTheme="minorHAnsi" w:eastAsiaTheme="minorHAnsi" w:hAnsiTheme="minorHAnsi" w:cstheme="minorBidi"/>
      <w:color w:val="auto"/>
      <w:szCs w:val="22"/>
      <w:lang w:val="en-AU"/>
    </w:rPr>
  </w:style>
  <w:style w:type="paragraph" w:customStyle="1" w:styleId="Numberedlist2">
    <w:name w:val="Numbered list 2"/>
    <w:basedOn w:val="ListParagraph"/>
    <w:qFormat/>
    <w:rsid w:val="007E2A39"/>
    <w:pPr>
      <w:numPr>
        <w:ilvl w:val="1"/>
        <w:numId w:val="14"/>
      </w:numPr>
      <w:spacing w:after="200" w:line="276" w:lineRule="auto"/>
      <w:ind w:left="2410" w:hanging="425"/>
    </w:pPr>
    <w:rPr>
      <w:rFonts w:asciiTheme="minorHAnsi" w:eastAsiaTheme="minorHAnsi" w:hAnsiTheme="minorHAnsi" w:cstheme="minorBidi"/>
      <w:color w:val="auto"/>
      <w:szCs w:val="22"/>
      <w:lang w:val="en-AU"/>
    </w:rPr>
  </w:style>
  <w:style w:type="paragraph" w:customStyle="1" w:styleId="Numberedlist3">
    <w:name w:val="Numbered list 3"/>
    <w:basedOn w:val="Numberedlist2"/>
    <w:qFormat/>
    <w:rsid w:val="007E2A39"/>
    <w:pPr>
      <w:numPr>
        <w:ilvl w:val="2"/>
      </w:numPr>
      <w:ind w:left="2835" w:hanging="284"/>
    </w:pPr>
  </w:style>
  <w:style w:type="paragraph" w:styleId="TOC1">
    <w:name w:val="toc 1"/>
    <w:basedOn w:val="Normal"/>
    <w:next w:val="Normal"/>
    <w:autoRedefine/>
    <w:uiPriority w:val="39"/>
    <w:unhideWhenUsed/>
    <w:rsid w:val="000C6AC2"/>
    <w:pPr>
      <w:tabs>
        <w:tab w:val="right" w:leader="dot" w:pos="8680"/>
      </w:tabs>
      <w:spacing w:after="100" w:line="276" w:lineRule="auto"/>
    </w:pPr>
    <w:rPr>
      <w:rFonts w:ascii="Calibri" w:eastAsiaTheme="minorHAnsi" w:hAnsi="Calibri" w:cstheme="minorBidi"/>
      <w:color w:val="auto"/>
      <w:szCs w:val="22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0C6AC2"/>
    <w:pPr>
      <w:spacing w:after="100" w:line="276" w:lineRule="auto"/>
      <w:ind w:left="397"/>
    </w:pPr>
    <w:rPr>
      <w:rFonts w:ascii="Calibri" w:eastAsiaTheme="minorHAnsi" w:hAnsi="Calibri" w:cstheme="minorBidi"/>
      <w:i/>
      <w:color w:val="auto"/>
      <w:sz w:val="20"/>
      <w:szCs w:val="22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0C6AC2"/>
    <w:pPr>
      <w:spacing w:after="100" w:line="276" w:lineRule="auto"/>
      <w:ind w:left="567"/>
    </w:pPr>
    <w:rPr>
      <w:rFonts w:ascii="Calibri" w:eastAsiaTheme="minorHAnsi" w:hAnsi="Calibri" w:cstheme="minorBidi"/>
      <w:color w:val="auto"/>
      <w:sz w:val="18"/>
      <w:szCs w:val="22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7E2A39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0C6AC2"/>
    <w:pPr>
      <w:spacing w:after="100"/>
      <w:ind w:left="660"/>
    </w:pPr>
  </w:style>
  <w:style w:type="character" w:styleId="CommentReference">
    <w:name w:val="annotation reference"/>
    <w:basedOn w:val="DefaultParagraphFont"/>
    <w:uiPriority w:val="99"/>
    <w:semiHidden/>
    <w:unhideWhenUsed/>
    <w:rsid w:val="00753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6BA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6BA"/>
    <w:rPr>
      <w:rFonts w:asciiTheme="majorHAnsi" w:hAnsiTheme="majorHAns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3C1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3C1"/>
    <w:rPr>
      <w:rFonts w:asciiTheme="majorHAnsi" w:hAnsiTheme="majorHAnsi"/>
      <w:sz w:val="16"/>
      <w:szCs w:val="20"/>
    </w:rPr>
  </w:style>
  <w:style w:type="character" w:styleId="FootnoteReference">
    <w:name w:val="footnote reference"/>
    <w:basedOn w:val="DefaultParagraphFont"/>
    <w:unhideWhenUsed/>
    <w:rsid w:val="00A27849"/>
    <w:rPr>
      <w:vertAlign w:val="superscript"/>
    </w:rPr>
  </w:style>
  <w:style w:type="paragraph" w:customStyle="1" w:styleId="TableHeading1">
    <w:name w:val="Table Heading 1"/>
    <w:basedOn w:val="Normal"/>
    <w:link w:val="TableHeading1Char"/>
    <w:qFormat/>
    <w:rsid w:val="00A27849"/>
    <w:rPr>
      <w:rFonts w:ascii="Calibri" w:eastAsia="Times New Roman" w:hAnsi="Calibri" w:cs="Arial"/>
      <w:b/>
      <w:sz w:val="20"/>
      <w:szCs w:val="20"/>
    </w:rPr>
  </w:style>
  <w:style w:type="paragraph" w:customStyle="1" w:styleId="Tableheading2">
    <w:name w:val="Table heading 2"/>
    <w:basedOn w:val="Normal"/>
    <w:link w:val="Tableheading2Char"/>
    <w:qFormat/>
    <w:rsid w:val="00A27849"/>
    <w:rPr>
      <w:rFonts w:ascii="Calibri" w:eastAsia="Times New Roman" w:hAnsi="Calibri" w:cs="Arial"/>
      <w:b/>
      <w:color w:val="E36C0A"/>
      <w:sz w:val="20"/>
      <w:szCs w:val="20"/>
    </w:rPr>
  </w:style>
  <w:style w:type="character" w:customStyle="1" w:styleId="TableHeading1Char">
    <w:name w:val="Table Heading 1 Char"/>
    <w:basedOn w:val="DefaultParagraphFont"/>
    <w:link w:val="TableHeading1"/>
    <w:rsid w:val="00A27849"/>
    <w:rPr>
      <w:rFonts w:ascii="Calibri" w:eastAsia="Times New Roman" w:hAnsi="Calibri" w:cs="Arial"/>
      <w:b/>
      <w:sz w:val="20"/>
      <w:szCs w:val="20"/>
    </w:rPr>
  </w:style>
  <w:style w:type="paragraph" w:customStyle="1" w:styleId="TableTextNormal">
    <w:name w:val="Table Text Normal"/>
    <w:basedOn w:val="Normal"/>
    <w:link w:val="TableTextNormalChar"/>
    <w:qFormat/>
    <w:rsid w:val="00A27849"/>
    <w:rPr>
      <w:rFonts w:ascii="Calibri" w:eastAsia="Times New Roman" w:hAnsi="Calibri" w:cs="Arial"/>
      <w:sz w:val="20"/>
      <w:szCs w:val="20"/>
    </w:rPr>
  </w:style>
  <w:style w:type="character" w:customStyle="1" w:styleId="Tableheading2Char">
    <w:name w:val="Table heading 2 Char"/>
    <w:basedOn w:val="DefaultParagraphFont"/>
    <w:link w:val="Tableheading2"/>
    <w:rsid w:val="00A27849"/>
    <w:rPr>
      <w:rFonts w:ascii="Calibri" w:eastAsia="Times New Roman" w:hAnsi="Calibri" w:cs="Arial"/>
      <w:b/>
      <w:color w:val="E36C0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7FD3"/>
    <w:rPr>
      <w:rFonts w:asciiTheme="majorHAnsi" w:eastAsiaTheme="majorEastAsia" w:hAnsiTheme="majorHAnsi" w:cstheme="majorBidi"/>
      <w:color w:val="246273" w:themeColor="accent1" w:themeShade="BF"/>
      <w:sz w:val="22"/>
    </w:rPr>
  </w:style>
  <w:style w:type="character" w:customStyle="1" w:styleId="TableTextNormalChar">
    <w:name w:val="Table Text Normal Char"/>
    <w:basedOn w:val="DefaultParagraphFont"/>
    <w:link w:val="TableTextNormal"/>
    <w:rsid w:val="00A27849"/>
    <w:rPr>
      <w:rFonts w:ascii="Calibri" w:eastAsia="Times New Roman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5D7FD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styleId="NoSpacing">
    <w:name w:val="No Spacing"/>
    <w:link w:val="NoSpacingChar"/>
    <w:uiPriority w:val="1"/>
    <w:qFormat/>
    <w:rsid w:val="005D7FD3"/>
    <w:pPr>
      <w:ind w:left="1276"/>
    </w:pPr>
    <w:rPr>
      <w:rFonts w:asciiTheme="minorHAnsi" w:eastAsiaTheme="minorHAnsi" w:hAnsiTheme="minorHAnsi" w:cstheme="minorBidi"/>
      <w:color w:val="auto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D7FD3"/>
    <w:rPr>
      <w:rFonts w:asciiTheme="minorHAnsi" w:eastAsiaTheme="minorHAnsi" w:hAnsiTheme="minorHAnsi" w:cstheme="minorBidi"/>
      <w:color w:val="auto"/>
      <w:sz w:val="22"/>
      <w:szCs w:val="22"/>
      <w:lang w:bidi="en-US"/>
    </w:rPr>
  </w:style>
  <w:style w:type="paragraph" w:customStyle="1" w:styleId="TableBulletStyle1">
    <w:name w:val="Table Bullet Style 1"/>
    <w:basedOn w:val="Bullet1"/>
    <w:link w:val="TableBulletStyle1Char"/>
    <w:qFormat/>
    <w:rsid w:val="00BA0E79"/>
    <w:pPr>
      <w:spacing w:after="0" w:line="240" w:lineRule="auto"/>
    </w:pPr>
    <w:rPr>
      <w:rFonts w:eastAsia="Times New Roman"/>
      <w:sz w:val="20"/>
    </w:rPr>
  </w:style>
  <w:style w:type="character" w:customStyle="1" w:styleId="TableBulletStyle1Char">
    <w:name w:val="Table Bullet Style 1 Char"/>
    <w:basedOn w:val="Bullet1Char"/>
    <w:link w:val="TableBulletStyle1"/>
    <w:rsid w:val="00BA0E79"/>
    <w:rPr>
      <w:rFonts w:asciiTheme="majorHAnsi" w:eastAsia="Times New Roman" w:hAnsiTheme="majorHAnsi" w:cs="Tahoma"/>
      <w:spacing w:val="4"/>
      <w:sz w:val="20"/>
      <w:szCs w:val="22"/>
      <w:lang w:val="en-GB"/>
    </w:rPr>
  </w:style>
  <w:style w:type="paragraph" w:customStyle="1" w:styleId="List1">
    <w:name w:val="List 1"/>
    <w:basedOn w:val="ListParagraph"/>
    <w:link w:val="List1Char"/>
    <w:rsid w:val="00F33C4D"/>
    <w:pPr>
      <w:numPr>
        <w:numId w:val="16"/>
      </w:numPr>
      <w:spacing w:before="120" w:after="120" w:line="480" w:lineRule="auto"/>
      <w:contextualSpacing w:val="0"/>
    </w:pPr>
    <w:rPr>
      <w:rFonts w:ascii="Times New Roman" w:hAnsi="Times New Roman" w:cs="Times New Roman"/>
      <w:color w:val="auto"/>
      <w:sz w:val="24"/>
      <w:szCs w:val="24"/>
      <w:lang w:val="en-AU" w:eastAsia="ja-JP" w:bidi="en-US"/>
    </w:rPr>
  </w:style>
  <w:style w:type="character" w:customStyle="1" w:styleId="List1Char">
    <w:name w:val="List 1 Char"/>
    <w:basedOn w:val="DefaultParagraphFont"/>
    <w:link w:val="List1"/>
    <w:rsid w:val="00F33C4D"/>
    <w:rPr>
      <w:rFonts w:ascii="Times New Roman" w:hAnsi="Times New Roman" w:cs="Times New Roman"/>
      <w:color w:val="auto"/>
      <w:sz w:val="24"/>
      <w:szCs w:val="24"/>
      <w:lang w:val="en-AU" w:eastAsia="ja-JP" w:bidi="en-US"/>
    </w:rPr>
  </w:style>
  <w:style w:type="paragraph" w:customStyle="1" w:styleId="ToolkitList2">
    <w:name w:val="Toolkit List 2"/>
    <w:basedOn w:val="ListParagraph"/>
    <w:rsid w:val="00F33C4D"/>
    <w:pPr>
      <w:numPr>
        <w:numId w:val="17"/>
      </w:numPr>
      <w:spacing w:before="120" w:after="120" w:line="480" w:lineRule="auto"/>
      <w:contextualSpacing w:val="0"/>
      <w:jc w:val="both"/>
    </w:pPr>
    <w:rPr>
      <w:rFonts w:ascii="Times New Roman" w:eastAsia="Cambria" w:hAnsi="Times New Roman" w:cs="Times New Roman"/>
      <w:color w:val="auto"/>
      <w:szCs w:val="24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33C4D"/>
    <w:rPr>
      <w:rFonts w:asciiTheme="majorHAnsi" w:hAnsiTheme="majorHAnsi"/>
      <w:sz w:val="22"/>
    </w:rPr>
  </w:style>
  <w:style w:type="paragraph" w:customStyle="1" w:styleId="tmtnorm">
    <w:name w:val="tmtnorm"/>
    <w:basedOn w:val="Normal"/>
    <w:link w:val="tmtnormChar"/>
    <w:rsid w:val="009D1D1D"/>
    <w:pPr>
      <w:spacing w:before="120"/>
      <w:jc w:val="both"/>
    </w:pPr>
    <w:rPr>
      <w:rFonts w:asciiTheme="minorHAnsi" w:eastAsia="MS Mincho" w:hAnsiTheme="minorHAnsi" w:cs="Times New Roman"/>
      <w:color w:val="auto"/>
      <w:sz w:val="20"/>
      <w:szCs w:val="20"/>
      <w:lang w:val="en-AU" w:eastAsia="ja-JP"/>
    </w:rPr>
  </w:style>
  <w:style w:type="character" w:customStyle="1" w:styleId="tmtnormChar">
    <w:name w:val="tmtnorm Char"/>
    <w:basedOn w:val="DefaultParagraphFont"/>
    <w:link w:val="tmtnorm"/>
    <w:rsid w:val="009D1D1D"/>
    <w:rPr>
      <w:rFonts w:asciiTheme="minorHAnsi" w:eastAsia="MS Mincho" w:hAnsiTheme="minorHAnsi" w:cs="Times New Roman"/>
      <w:color w:val="auto"/>
      <w:sz w:val="20"/>
      <w:szCs w:val="20"/>
      <w:lang w:val="en-AU" w:eastAsia="ja-JP"/>
    </w:rPr>
  </w:style>
  <w:style w:type="paragraph" w:styleId="BodyText">
    <w:name w:val="Body Text"/>
    <w:basedOn w:val="Normal"/>
    <w:link w:val="BodyTextChar"/>
    <w:rsid w:val="00150C68"/>
    <w:pPr>
      <w:spacing w:before="120" w:after="120"/>
    </w:pPr>
    <w:rPr>
      <w:rFonts w:ascii="Times New Roman" w:eastAsia="MS Mincho" w:hAnsi="Times New Roman" w:cs="Times New Roman"/>
      <w:b/>
      <w:color w:val="auto"/>
      <w:sz w:val="24"/>
      <w:szCs w:val="20"/>
      <w:lang w:val="en-AU" w:eastAsia="zh-TW"/>
    </w:rPr>
  </w:style>
  <w:style w:type="character" w:customStyle="1" w:styleId="BodyTextChar">
    <w:name w:val="Body Text Char"/>
    <w:basedOn w:val="DefaultParagraphFont"/>
    <w:link w:val="BodyText"/>
    <w:rsid w:val="00150C68"/>
    <w:rPr>
      <w:rFonts w:ascii="Times New Roman" w:eastAsia="MS Mincho" w:hAnsi="Times New Roman" w:cs="Times New Roman"/>
      <w:b/>
      <w:color w:val="auto"/>
      <w:sz w:val="24"/>
      <w:szCs w:val="20"/>
      <w:lang w:val="en-AU"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6A395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85BFA"/>
    <w:rPr>
      <w:rFonts w:asciiTheme="majorHAnsi" w:hAnsiTheme="maj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eG Colour Palette">
      <a:dk1>
        <a:sysClr val="windowText" lastClr="000000"/>
      </a:dk1>
      <a:lt1>
        <a:sysClr val="window" lastClr="FFFFFF"/>
      </a:lt1>
      <a:dk2>
        <a:srgbClr val="1F497D"/>
      </a:dk2>
      <a:lt2>
        <a:srgbClr val="FFC000"/>
      </a:lt2>
      <a:accent1>
        <a:srgbClr val="31849B"/>
      </a:accent1>
      <a:accent2>
        <a:srgbClr val="FB8133"/>
      </a:accent2>
      <a:accent3>
        <a:srgbClr val="92D050"/>
      </a:accent3>
      <a:accent4>
        <a:srgbClr val="CC3333"/>
      </a:accent4>
      <a:accent5>
        <a:srgbClr val="00B0F0"/>
      </a:accent5>
      <a:accent6>
        <a:srgbClr val="2D5EA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295c1e-a753-4643-94fa-4a6771d73ebc">
      <Terms xmlns="http://schemas.microsoft.com/office/infopath/2007/PartnerControls"/>
    </lcf76f155ced4ddcb4097134ff3c332f>
    <TaxCatchAll xmlns="ad8acde6-3a75-4f15-8f65-bdae50aab5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8FE3CD2BAB5459207C9DC226F3257" ma:contentTypeVersion="15" ma:contentTypeDescription="Create a new document." ma:contentTypeScope="" ma:versionID="58715c22a79c52fd535e62bff252896a">
  <xsd:schema xmlns:xsd="http://www.w3.org/2001/XMLSchema" xmlns:xs="http://www.w3.org/2001/XMLSchema" xmlns:p="http://schemas.microsoft.com/office/2006/metadata/properties" xmlns:ns2="dd295c1e-a753-4643-94fa-4a6771d73ebc" xmlns:ns3="ad8acde6-3a75-4f15-8f65-bdae50aab567" targetNamespace="http://schemas.microsoft.com/office/2006/metadata/properties" ma:root="true" ma:fieldsID="6741dc6788a5cbc9d0b0df2959e98dbd" ns2:_="" ns3:_="">
    <xsd:import namespace="dd295c1e-a753-4643-94fa-4a6771d73ebc"/>
    <xsd:import namespace="ad8acde6-3a75-4f15-8f65-bdae50aab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95c1e-a753-4643-94fa-4a6771d73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d0e0471-739f-4d3b-a46a-907b525e9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acde6-3a75-4f15-8f65-bdae50aab56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17c9d13-6cd2-492d-bc7d-6f9260f260c1}" ma:internalName="TaxCatchAll" ma:showField="CatchAllData" ma:web="ad8acde6-3a75-4f15-8f65-bdae50aab5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92BC03-654C-4322-867C-4764D63AD511}">
  <ds:schemaRefs>
    <ds:schemaRef ds:uri="http://schemas.microsoft.com/office/2006/metadata/properties"/>
    <ds:schemaRef ds:uri="http://schemas.microsoft.com/office/infopath/2007/PartnerControls"/>
    <ds:schemaRef ds:uri="dd295c1e-a753-4643-94fa-4a6771d73ebc"/>
    <ds:schemaRef ds:uri="ad8acde6-3a75-4f15-8f65-bdae50aab567"/>
  </ds:schemaRefs>
</ds:datastoreItem>
</file>

<file path=customXml/itemProps2.xml><?xml version="1.0" encoding="utf-8"?>
<ds:datastoreItem xmlns:ds="http://schemas.openxmlformats.org/officeDocument/2006/customXml" ds:itemID="{D35D0939-B9E4-4039-A728-48724EC37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95c1e-a753-4643-94fa-4a6771d73ebc"/>
    <ds:schemaRef ds:uri="ad8acde6-3a75-4f15-8f65-bdae50aab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81AC49-CD6F-43D4-8B5E-578E7385CB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62A827-D720-4ED8-BAF7-30495F3E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Svetty</dc:creator>
  <cp:lastModifiedBy>Peter Bolton</cp:lastModifiedBy>
  <cp:revision>8</cp:revision>
  <cp:lastPrinted>2019-01-11T03:08:00Z</cp:lastPrinted>
  <dcterms:created xsi:type="dcterms:W3CDTF">2023-02-03T03:58:00Z</dcterms:created>
  <dcterms:modified xsi:type="dcterms:W3CDTF">2023-02-03T04:08:00Z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0x010100BDE8FE3CD2BAB5459207C9DC226F3257</vt:lpwstr>
  </property>
  <property fmtid="{D5CDD505-2E9C-101B-9397-08002B2CF9AE}" pid="3" name="Order">
    <vt:r8>312000</vt:r8>
  </property>
  <property fmtid="{D5CDD505-2E9C-101B-9397-08002B2CF9AE}" pid="4" name="MediaServiceImageTags">
    <vt:lpwstr/>
  </property>
</Properties>
</file>